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4496C">
      <w:pPr>
        <w:widowControl/>
        <w:spacing w:line="600" w:lineRule="exact"/>
        <w:outlineLvl w:val="0"/>
        <w:rPr>
          <w:rFonts w:hint="eastAsia" w:ascii="Times New Roman" w:hAnsi="Times New Roman" w:eastAsia="黑体" w:cs="Times New Roman"/>
          <w:sz w:val="32"/>
          <w:szCs w:val="32"/>
          <w:lang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533FA77F">
      <w:pPr>
        <w:widowControl/>
        <w:spacing w:line="600" w:lineRule="exact"/>
        <w:outlineLvl w:val="0"/>
        <w:rPr>
          <w:rFonts w:ascii="Times New Roman" w:hAnsi="Times New Roman" w:eastAsia="仿宋_GB2312" w:cs="Times New Roman"/>
          <w:sz w:val="32"/>
          <w:szCs w:val="32"/>
        </w:rPr>
      </w:pPr>
    </w:p>
    <w:p w14:paraId="380A47B6">
      <w:pPr>
        <w:widowControl/>
        <w:spacing w:line="600" w:lineRule="exact"/>
        <w:jc w:val="center"/>
        <w:outlineLvl w:val="0"/>
        <w:rPr>
          <w:rFonts w:ascii="Times New Roman" w:hAnsi="Times New Roman" w:eastAsia="方正小标宋简体" w:cs="Times New Roman"/>
          <w:bCs/>
          <w:color w:val="000000"/>
          <w:kern w:val="36"/>
          <w:sz w:val="44"/>
          <w:szCs w:val="44"/>
        </w:rPr>
      </w:pPr>
      <w:bookmarkStart w:id="0" w:name="_GoBack"/>
      <w:r>
        <w:rPr>
          <w:rFonts w:ascii="Times New Roman" w:hAnsi="Times New Roman" w:eastAsia="方正小标宋简体" w:cs="Times New Roman"/>
          <w:bCs/>
          <w:color w:val="000000"/>
          <w:kern w:val="36"/>
          <w:sz w:val="44"/>
          <w:szCs w:val="44"/>
        </w:rPr>
        <w:t>制造业中试平台建设要求</w:t>
      </w:r>
    </w:p>
    <w:bookmarkEnd w:id="0"/>
    <w:p w14:paraId="65E2394C">
      <w:pPr>
        <w:widowControl/>
        <w:spacing w:line="600" w:lineRule="exact"/>
        <w:ind w:firstLine="640"/>
        <w:rPr>
          <w:rFonts w:ascii="Times New Roman" w:hAnsi="Times New Roman" w:eastAsia="仿宋_GB2312" w:cs="Times New Roman"/>
          <w:sz w:val="32"/>
          <w:szCs w:val="32"/>
        </w:rPr>
      </w:pPr>
    </w:p>
    <w:p w14:paraId="47B73A40">
      <w:pPr>
        <w:widowControl/>
        <w:spacing w:line="600" w:lineRule="exact"/>
        <w:ind w:firstLine="640"/>
        <w:rPr>
          <w:rFonts w:ascii="Times New Roman" w:hAnsi="Times New Roman" w:eastAsia="仿宋_GB2312" w:cs="Times New Roman"/>
          <w:color w:val="070707"/>
          <w:kern w:val="0"/>
          <w:sz w:val="32"/>
          <w:szCs w:val="32"/>
        </w:rPr>
      </w:pPr>
      <w:r>
        <w:rPr>
          <w:rFonts w:ascii="Times New Roman" w:hAnsi="Times New Roman" w:eastAsia="仿宋_GB2312" w:cs="Times New Roman"/>
          <w:sz w:val="32"/>
          <w:szCs w:val="32"/>
        </w:rPr>
        <w:t>为全面贯彻落实习近平总书记关于科技创新的重要论述和考察湖北重要讲话精神，有序推动湖北省制造业中试平台建设，构建全省制造业中试服务体系，推动科技创新和产业创新深度融合，为建成中部地区崛起重要战略支点提供支撑</w:t>
      </w:r>
      <w:r>
        <w:rPr>
          <w:rFonts w:ascii="Times New Roman" w:hAnsi="Times New Roman" w:eastAsia="仿宋_GB2312" w:cs="Times New Roman"/>
          <w:color w:val="070707"/>
          <w:kern w:val="0"/>
          <w:sz w:val="32"/>
          <w:szCs w:val="32"/>
        </w:rPr>
        <w:t>，制订本工作要求。</w:t>
      </w:r>
    </w:p>
    <w:p w14:paraId="1BAF7821">
      <w:pPr>
        <w:widowControl/>
        <w:spacing w:line="600" w:lineRule="exact"/>
        <w:ind w:firstLine="640"/>
        <w:rPr>
          <w:rFonts w:ascii="Times New Roman" w:hAnsi="Times New Roman" w:eastAsia="黑体" w:cs="Times New Roman"/>
          <w:color w:val="070707"/>
          <w:kern w:val="0"/>
          <w:sz w:val="32"/>
          <w:szCs w:val="32"/>
        </w:rPr>
      </w:pPr>
      <w:r>
        <w:rPr>
          <w:rFonts w:ascii="Times New Roman" w:hAnsi="Times New Roman" w:eastAsia="黑体" w:cs="Times New Roman"/>
          <w:color w:val="070707"/>
          <w:kern w:val="0"/>
          <w:sz w:val="32"/>
          <w:szCs w:val="32"/>
        </w:rPr>
        <w:t>一、概念功能</w:t>
      </w:r>
    </w:p>
    <w:p w14:paraId="278CD740">
      <w:pPr>
        <w:widowControl/>
        <w:spacing w:line="600" w:lineRule="exact"/>
        <w:ind w:firstLine="640" w:firstLineChars="200"/>
        <w:rPr>
          <w:rFonts w:ascii="Times New Roman" w:hAnsi="Times New Roman" w:eastAsia="仿宋_GB2312" w:cs="Times New Roman"/>
          <w:color w:val="1C1F23"/>
          <w:kern w:val="0"/>
          <w:sz w:val="32"/>
          <w:szCs w:val="32"/>
          <w:lang w:bidi="ar"/>
        </w:rPr>
      </w:pPr>
      <w:r>
        <w:rPr>
          <w:rFonts w:ascii="Times New Roman" w:hAnsi="Times New Roman" w:eastAsia="仿宋_GB2312" w:cs="Times New Roman"/>
          <w:color w:val="1C1F23"/>
          <w:kern w:val="0"/>
          <w:sz w:val="32"/>
          <w:szCs w:val="32"/>
          <w:lang w:bidi="ar"/>
        </w:rPr>
        <w:t>制造业中试平台是为处在试制阶段的样品转化到生产过程提供中试服务的载体，其主要功能是面向制造业发展需求，汇聚各类产业资源，推动科技成果产业化应用，提供设计验证、功能性能验证、工艺验证、适配验证、生产验证等综合性、专业化服务和系统化解决方案。中试平台通过设计验证，确定产品的结构强度等指标参数是否满足设计定型要求；通过功能性能验证，验证产品功能实现、可靠性、环境适应性等特性情况；通过工艺验证，确保所采用的材料、设备、基础设施、环境条件、工艺流程等符合工艺要求；通过适配验证，保障软硬件适配集成的兼容性和稳定性；通过生产验证，验证量产可行性和成本经济性，从而持续优化生产流程和工艺参数，最终达到理想目标。</w:t>
      </w:r>
    </w:p>
    <w:p w14:paraId="193AC364">
      <w:pPr>
        <w:widowControl/>
        <w:spacing w:line="600" w:lineRule="exact"/>
        <w:ind w:firstLine="640"/>
        <w:rPr>
          <w:rFonts w:ascii="Times New Roman" w:hAnsi="Times New Roman" w:eastAsia="黑体" w:cs="Times New Roman"/>
          <w:color w:val="070707"/>
          <w:kern w:val="0"/>
          <w:sz w:val="32"/>
          <w:szCs w:val="32"/>
        </w:rPr>
      </w:pPr>
      <w:r>
        <w:rPr>
          <w:rFonts w:ascii="Times New Roman" w:hAnsi="Times New Roman" w:eastAsia="黑体" w:cs="Times New Roman"/>
          <w:color w:val="070707"/>
          <w:kern w:val="0"/>
          <w:sz w:val="32"/>
          <w:szCs w:val="32"/>
        </w:rPr>
        <w:t>二、建设领域</w:t>
      </w:r>
    </w:p>
    <w:p w14:paraId="37F49603">
      <w:pPr>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按照“做强一批、激活一批、补齐一批”的推进思路，省制造业中试平台应围绕“51020”先进制造业产业集群系统布局，聚焦5个支柱产业、10个优势产业、20个特色产业集群发展需求，以推动产业转型升级为路径，精准对接改造提升传统产业、培育壮大新兴产业、前瞻布局未来产业三大核心任务，强化中试环节在科技创新与产业创新深度融合中的关键枢纽作用，加速构建体现湖北优势的现代化产业体系。</w:t>
      </w:r>
    </w:p>
    <w:p w14:paraId="42F42581">
      <w:pPr>
        <w:widowControl/>
        <w:spacing w:line="600" w:lineRule="exact"/>
        <w:ind w:firstLine="640"/>
        <w:rPr>
          <w:rFonts w:ascii="Times New Roman" w:hAnsi="Times New Roman" w:eastAsia="黑体" w:cs="Times New Roman"/>
          <w:color w:val="070707"/>
          <w:kern w:val="0"/>
          <w:sz w:val="32"/>
          <w:szCs w:val="32"/>
        </w:rPr>
      </w:pPr>
      <w:r>
        <w:rPr>
          <w:rFonts w:ascii="Times New Roman" w:hAnsi="Times New Roman" w:eastAsia="黑体" w:cs="Times New Roman"/>
          <w:color w:val="070707"/>
          <w:kern w:val="0"/>
          <w:sz w:val="32"/>
          <w:szCs w:val="32"/>
        </w:rPr>
        <w:t>三、建设主体</w:t>
      </w:r>
    </w:p>
    <w:p w14:paraId="5FEC5694">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引导有条件的建设主体，因地制宜、分类施策推进制造业中试平台建设，加大高质量中试供给。</w:t>
      </w:r>
    </w:p>
    <w:p w14:paraId="6EF7DDA7">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（一）政府投资型。</w:t>
      </w:r>
      <w:r>
        <w:rPr>
          <w:rFonts w:ascii="Times New Roman" w:hAnsi="Times New Roman" w:eastAsia="仿宋_GB2312" w:cs="Times New Roman"/>
          <w:sz w:val="32"/>
          <w:szCs w:val="32"/>
        </w:rPr>
        <w:t>紧扣全省“51020”先进制造业产业集群发展需求，</w:t>
      </w:r>
      <w:r>
        <w:rPr>
          <w:rFonts w:ascii="Times New Roman" w:hAnsi="Times New Roman" w:eastAsia="仿宋_GB2312" w:cs="Times New Roman"/>
          <w:color w:val="000000"/>
          <w:kern w:val="0"/>
          <w:sz w:val="31"/>
          <w:szCs w:val="31"/>
          <w:lang w:bidi="ar"/>
        </w:rPr>
        <w:t>在布局缺失、市场配置资源不足的关键领域，依托中央或地方政府财政资金、省级制造业高质量发展专项资金、政府引导基金、政策性银行资金等公共资金建设，布局建设具有公共服务性质和功能的综合性、专业化中试平台，提供高水平公共服务，满足企业多样化需求，加速新技术、新产品迭代应用，全方位支撑湖北产业创新发展和现代化产业体系构建。</w:t>
      </w:r>
    </w:p>
    <w:p w14:paraId="17042AA0">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（二）高校院所投资型。</w:t>
      </w:r>
      <w:r>
        <w:rPr>
          <w:rFonts w:ascii="Times New Roman" w:hAnsi="Times New Roman" w:eastAsia="仿宋_GB2312" w:cs="Times New Roman"/>
          <w:sz w:val="32"/>
          <w:szCs w:val="32"/>
        </w:rPr>
        <w:t>引导高校和科研院所以行业共性技术攻关和产业发展需求为导向，利用自有资金更新升级实验室能力，开展成果工程化试验，加快转化为成熟技术和公共产品。支持高校和科研院所技术入股，推动中试平台法人实体化运作，强化市场导向，探索与熟化产品利益绑定等收入模式，提高可持续发展能力。</w:t>
      </w:r>
    </w:p>
    <w:p w14:paraId="2F795512">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（三）企业投资性。</w:t>
      </w:r>
      <w:r>
        <w:rPr>
          <w:rFonts w:ascii="Times New Roman" w:hAnsi="Times New Roman" w:eastAsia="仿宋_GB2312" w:cs="Times New Roman"/>
          <w:sz w:val="32"/>
          <w:szCs w:val="32"/>
        </w:rPr>
        <w:t>引导龙头企业搭建自主产品中试平台，带动产品研发设计和验证试验，实现显著技术突破、批量稳定生产，形成质量竞争优势。推动有条件的企业将自主建设的中试平台适度开放，将富余的中试能力转化为对外服务，促进资源开放共享、高效利用。重点支持企业采用市场化运营、开放式服务的模式，建设具有公共服务属性的中试平台，主动承担关键技术研发转化，拓展中试全链条市场服务功能，加大高质量中试供给。</w:t>
      </w:r>
    </w:p>
    <w:p w14:paraId="26AB4C54">
      <w:pPr>
        <w:widowControl/>
        <w:spacing w:line="600" w:lineRule="exact"/>
        <w:ind w:firstLine="640"/>
        <w:rPr>
          <w:rFonts w:ascii="Times New Roman" w:hAnsi="Times New Roman" w:eastAsia="黑体" w:cs="Times New Roman"/>
          <w:color w:val="070707"/>
          <w:kern w:val="0"/>
          <w:sz w:val="32"/>
          <w:szCs w:val="32"/>
        </w:rPr>
      </w:pPr>
      <w:r>
        <w:rPr>
          <w:rFonts w:ascii="Times New Roman" w:hAnsi="Times New Roman" w:eastAsia="黑体" w:cs="Times New Roman"/>
          <w:color w:val="070707"/>
          <w:kern w:val="0"/>
          <w:sz w:val="32"/>
          <w:szCs w:val="32"/>
        </w:rPr>
        <w:t>四、建设内容</w:t>
      </w:r>
    </w:p>
    <w:p w14:paraId="68A259CD">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（一）规划建设方向。</w:t>
      </w:r>
      <w:r>
        <w:rPr>
          <w:rFonts w:ascii="Times New Roman" w:hAnsi="Times New Roman" w:eastAsia="仿宋_GB2312" w:cs="Times New Roman"/>
          <w:sz w:val="32"/>
          <w:szCs w:val="32"/>
        </w:rPr>
        <w:t>引导中试平台围绕全省重大任务、重大工程、产业需求，结合当地实际确定布局领域。推动中试平台完善规划建设方案，因地制宜采取相应的投资建设模式、发展策略和措施路径，优化要素资源配置，挖掘未来发展潜力，逐步建强中试能力。</w:t>
      </w:r>
    </w:p>
    <w:p w14:paraId="07EC516A">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（二）夯实基础条件。</w:t>
      </w:r>
      <w:r>
        <w:rPr>
          <w:rFonts w:ascii="Times New Roman" w:hAnsi="Times New Roman" w:eastAsia="仿宋_GB2312" w:cs="Times New Roman"/>
          <w:sz w:val="32"/>
          <w:szCs w:val="32"/>
        </w:rPr>
        <w:t>支持中试平台开展中试线和试验场地建设，配备技术熟化、工艺验证、样品试制、放大试产所需的试验设备、仪器仪表、试验数据、基础软件和工业软件，以及安全、环保等配套设施，鼓励中试平台应用人工智能、大数据、虚拟仿真、数字孪生等技术，完善中试数字化、网络化、智能化、绿色化能力。引导中试平台培养懂产品、懂制造、懂试验、懂设备、懂安全的复合型人才，解决突破复杂工程问题。</w:t>
      </w:r>
    </w:p>
    <w:p w14:paraId="6C4F0AA8">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（三）提升技术支撑。</w:t>
      </w:r>
      <w:r>
        <w:rPr>
          <w:rFonts w:ascii="Times New Roman" w:hAnsi="Times New Roman" w:eastAsia="仿宋_GB2312" w:cs="Times New Roman"/>
          <w:sz w:val="32"/>
          <w:szCs w:val="32"/>
        </w:rPr>
        <w:t>推动中试平台制定科学合理的试验方案和规程，研制中试相关技术标准，建强产业前沿技术研发熟化和创新型产品试制等核心功能。支持中试平台突破可靠性设计、仿真分析、数字孪生等关键技术和计量、试验检测、分析评价等基础共性技术，推动关键工艺技术、专用装备的工程化放大和系统集成。</w:t>
      </w:r>
    </w:p>
    <w:p w14:paraId="5CF2E1B9">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（四）强化专业服务。</w:t>
      </w:r>
      <w:r>
        <w:rPr>
          <w:rFonts w:ascii="Times New Roman" w:hAnsi="Times New Roman" w:eastAsia="仿宋_GB2312" w:cs="Times New Roman"/>
          <w:sz w:val="32"/>
          <w:szCs w:val="32"/>
        </w:rPr>
        <w:t>推动中试平台为新技术、新产品、新模式应用提供试验环境，搭建试验专业场景，提升工程开发、设计验证、工艺改进、放大熟化、性能测试、样品试制等服务能力，带动突破一批关键技术、工艺、产品、标准和解决方案。支持中试平台探索协作共享机制，推动仪器设备、试验场地、试验数据等要素对外开放，提高资源综合利用效率。</w:t>
      </w:r>
    </w:p>
    <w:p w14:paraId="3CD30F07">
      <w:pPr>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（五）建立管理机制。</w:t>
      </w:r>
      <w:r>
        <w:rPr>
          <w:rFonts w:ascii="Times New Roman" w:hAnsi="Times New Roman" w:eastAsia="仿宋_GB2312" w:cs="Times New Roman"/>
          <w:sz w:val="32"/>
          <w:szCs w:val="32"/>
        </w:rPr>
        <w:t>推动中试平台完善运营管理机制，健全技术转让、技术服务等管理制度，先行先试成果转化、人才激励、科技金融等改革举措。鼓励通过数据脱敏技术、技术保密责任险、分段授权制等手段，健全合理的利益分配机制，加强知识产权创造、保护和运用。</w:t>
      </w:r>
    </w:p>
    <w:p w14:paraId="6E439BC5">
      <w:pPr>
        <w:widowControl/>
        <w:spacing w:line="600" w:lineRule="exact"/>
        <w:ind w:firstLine="640"/>
        <w:rPr>
          <w:rFonts w:ascii="Times New Roman" w:hAnsi="Times New Roman" w:eastAsia="黑体" w:cs="Times New Roman"/>
          <w:color w:val="070707"/>
          <w:kern w:val="0"/>
          <w:sz w:val="32"/>
          <w:szCs w:val="32"/>
        </w:rPr>
      </w:pPr>
      <w:r>
        <w:rPr>
          <w:rFonts w:ascii="Times New Roman" w:hAnsi="Times New Roman" w:eastAsia="黑体" w:cs="Times New Roman"/>
          <w:color w:val="070707"/>
          <w:kern w:val="0"/>
          <w:sz w:val="32"/>
          <w:szCs w:val="32"/>
        </w:rPr>
        <w:t>五、服务运行</w:t>
      </w:r>
    </w:p>
    <w:p w14:paraId="07E63FF1">
      <w:pPr>
        <w:widowControl/>
        <w:spacing w:line="600" w:lineRule="exact"/>
        <w:ind w:firstLine="640" w:firstLineChars="200"/>
        <w:rPr>
          <w:rFonts w:ascii="Times New Roman" w:hAnsi="Times New Roman" w:eastAsia="仿宋_GB2312" w:cs="Times New Roman"/>
          <w:color w:val="000000"/>
          <w:kern w:val="0"/>
          <w:sz w:val="32"/>
          <w:szCs w:val="32"/>
          <w:lang w:bidi="ar"/>
        </w:rPr>
      </w:pPr>
      <w:r>
        <w:rPr>
          <w:rFonts w:ascii="Times New Roman" w:hAnsi="Times New Roman" w:eastAsia="楷体" w:cs="Times New Roman"/>
          <w:sz w:val="32"/>
          <w:szCs w:val="32"/>
        </w:rPr>
        <w:t>（一）巩固核心业务基本盘。</w:t>
      </w:r>
      <w:r>
        <w:rPr>
          <w:rFonts w:ascii="Times New Roman" w:hAnsi="Times New Roman" w:eastAsia="仿宋_GB2312" w:cs="Times New Roman"/>
          <w:color w:val="000000"/>
          <w:kern w:val="0"/>
          <w:sz w:val="32"/>
          <w:szCs w:val="32"/>
          <w:lang w:bidi="ar"/>
        </w:rPr>
        <w:t>支持中试平台以数字化转型和绿色化升级为重点，开展设备更新和技术改造，提高试验效率和技术水平。引导中试平台制定清晰的服务事项清单和流程指南，打造标准化、模块化、精细化的服务解决方案，形成可灵活组合、按需调用的服务包，提升服务质效。鼓励中试平台开发“线上+线下”融合服务等途径，拓展服务区域和覆盖范围，做大服务规模体量。</w:t>
      </w:r>
    </w:p>
    <w:p w14:paraId="02EE1C9F">
      <w:pPr>
        <w:widowControl/>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（二）拓展多元收入增长点。</w:t>
      </w:r>
      <w:r>
        <w:rPr>
          <w:rFonts w:ascii="Times New Roman" w:hAnsi="Times New Roman" w:eastAsia="仿宋_GB2312" w:cs="Times New Roman"/>
          <w:color w:val="000000"/>
          <w:kern w:val="0"/>
          <w:sz w:val="32"/>
          <w:szCs w:val="32"/>
          <w:lang w:bidi="ar"/>
        </w:rPr>
        <w:t>支持中试平台主动拓展成果推广、企业孵化培育、投融资推介对接、数据信息、咨询培训等市场化服务，通过提供高附加值服务、承担国家和地方项目、增资扩股、合作研发等途径，扩大运行资金来源。支持中试平台探索“中试服务+股权投资”等新模式，培育设备租赁、远程运维、共享试验等新业态。</w:t>
      </w:r>
    </w:p>
    <w:p w14:paraId="36102417">
      <w:pPr>
        <w:widowControl/>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（三）把握产业生态话语权。</w:t>
      </w:r>
      <w:r>
        <w:rPr>
          <w:rFonts w:ascii="Times New Roman" w:hAnsi="Times New Roman" w:eastAsia="仿宋_GB2312" w:cs="Times New Roman"/>
          <w:color w:val="000000"/>
          <w:kern w:val="0"/>
          <w:sz w:val="32"/>
          <w:szCs w:val="32"/>
          <w:lang w:bidi="ar"/>
        </w:rPr>
        <w:t>引导中试平台深化产学研用协同，挖掘高等学校、科研院所原始创新成果，承接中试熟化任务。支持中试平台联合多元主体建设联合实验室，共享试验设备，联合培养人才。强化供需对接，支持中试平台与产业链上下游企业开展战略合作，形成价值创造共同体。鼓励中试平台牵头和参与制定中试相关标准规范，提升在产业生态中的话语权。</w:t>
      </w:r>
    </w:p>
    <w:p w14:paraId="2BC4DA4D">
      <w:pPr>
        <w:rPr>
          <w:rFonts w:ascii="Times New Roman" w:hAnsi="Times New Roman" w:eastAsia="仿宋_GB2312" w:cs="Times New Roman"/>
          <w:color w:val="000000"/>
          <w:sz w:val="32"/>
          <w:szCs w:val="32"/>
        </w:rPr>
      </w:pPr>
    </w:p>
    <w:p w14:paraId="0DD13ECD">
      <w:pPr>
        <w:pStyle w:val="2"/>
        <w:rPr>
          <w:rFonts w:ascii="Times New Roman" w:hAnsi="Times New Roman" w:cs="Times New Roman"/>
        </w:rPr>
      </w:pPr>
    </w:p>
    <w:p w14:paraId="2884061A">
      <w:pPr>
        <w:pStyle w:val="3"/>
        <w:jc w:val="both"/>
        <w:rPr>
          <w:rFonts w:ascii="Times New Roman" w:hAnsi="Times New Roman"/>
        </w:rPr>
      </w:pPr>
    </w:p>
    <w:p w14:paraId="17A4B371">
      <w:pPr>
        <w:rPr>
          <w:rFonts w:ascii="Times New Roman" w:hAnsi="Times New Roman" w:cs="Times New Roman"/>
        </w:rPr>
      </w:pPr>
    </w:p>
    <w:p w14:paraId="06949889">
      <w:pPr>
        <w:pStyle w:val="2"/>
        <w:rPr>
          <w:rFonts w:ascii="Times New Roman" w:hAnsi="Times New Roman" w:cs="Times New Roman"/>
        </w:rPr>
        <w:sectPr>
          <w:footerReference r:id="rId3" w:type="default"/>
          <w:footerReference r:id="rId4" w:type="even"/>
          <w:pgSz w:w="11906" w:h="16838"/>
          <w:pgMar w:top="1474" w:right="1474" w:bottom="1474" w:left="1474" w:header="851" w:footer="992" w:gutter="0"/>
          <w:pgNumType w:fmt="numberInDash"/>
          <w:cols w:space="425" w:num="1"/>
          <w:titlePg/>
          <w:docGrid w:type="lines" w:linePitch="312" w:charSpace="0"/>
        </w:sectPr>
      </w:pPr>
    </w:p>
    <w:p w14:paraId="7DE066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heme="majorEastAsia" w:hAnsiTheme="majorEastAsia" w:eastAsiaTheme="majorEastAsia"/>
        <w:sz w:val="28"/>
        <w:szCs w:val="28"/>
      </w:rPr>
    </w:sdtEndPr>
    <w:sdtContent>
      <w:p w14:paraId="15E9792A">
        <w:pPr>
          <w:pStyle w:val="4"/>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7 -</w:t>
        </w:r>
        <w:r>
          <w:rPr>
            <w:rFonts w:asciiTheme="majorEastAsia" w:hAnsiTheme="majorEastAsia" w:eastAsia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592295"/>
      <w:docPartObj>
        <w:docPartGallery w:val="autotext"/>
      </w:docPartObj>
    </w:sdtPr>
    <w:sdtEndPr>
      <w:rPr>
        <w:rFonts w:asciiTheme="minorEastAsia" w:hAnsiTheme="minorEastAsia"/>
        <w:sz w:val="28"/>
        <w:szCs w:val="28"/>
      </w:rPr>
    </w:sdtEndPr>
    <w:sdtContent>
      <w:p w14:paraId="4B46B5BA">
        <w:pPr>
          <w:pStyle w:val="4"/>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20 -</w:t>
        </w:r>
        <w:r>
          <w:rPr>
            <w:rFonts w:asciiTheme="minorEastAsia" w:hAnsi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70078"/>
    <w:rsid w:val="7B270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40" w:line="276" w:lineRule="auto"/>
    </w:pPr>
  </w:style>
  <w:style w:type="paragraph" w:styleId="3">
    <w:name w:val="Subtitle"/>
    <w:basedOn w:val="1"/>
    <w:next w:val="1"/>
    <w:qFormat/>
    <w:uiPriority w:val="11"/>
    <w:pPr>
      <w:spacing w:before="240" w:after="60" w:line="312" w:lineRule="auto"/>
      <w:jc w:val="center"/>
      <w:outlineLvl w:val="1"/>
    </w:pPr>
    <w:rPr>
      <w:rFonts w:ascii="Cambria" w:hAnsi="Cambria" w:cs="Times New Roman"/>
      <w:b/>
      <w:bCs/>
      <w:kern w:val="28"/>
      <w:sz w:val="32"/>
      <w:szCs w:val="32"/>
    </w:rPr>
  </w:style>
  <w:style w:type="paragraph" w:styleId="4">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2026-01-14T08:22:00Z</dcterms:created>
  <dc:creator>月亮姐姐</dc:creator>
  <cp:lastModifiedBy>月亮姐姐</cp:lastModifiedBy>
  <dcterms:modified xsi:type="dcterms:W3CDTF">2026-01-14T08:23:01Z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3C8B1305246D4FBE8E4EAAC5A4C23CEB_11</vt:lpwstr>
  </property>
  <property fmtid="{D5CDD505-2E9C-101B-9397-08002B2CF9AE}" pid="4" name="KSOTemplateDocerSaveRecord">
    <vt:lpwstr>eyJoZGlkIjoiOTRmOWY3Y2U0NWQzMWY2YWMzMjEzYzQ3YmU2ZWFhZWUiLCJ1c2VySWQiOiIxMzMyMTk0MjYyIn0=</vt:lpwstr>
  </property>
</Properties>
</file>