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EEE64">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38A8F40B">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方正小标宋简体" w:eastAsia="方正小标宋简体" w:cs="方正小标宋简体"/>
          <w:sz w:val="44"/>
          <w:szCs w:val="44"/>
          <w:lang w:eastAsia="zh-CN"/>
        </w:rPr>
      </w:pPr>
    </w:p>
    <w:p w14:paraId="446731FD">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专精特新中小企业佐证材料清单</w:t>
      </w:r>
    </w:p>
    <w:p w14:paraId="7D4A3088">
      <w:pPr>
        <w:pStyle w:val="2"/>
        <w:ind w:left="0" w:leftChars="0" w:firstLine="0" w:firstLineChars="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（仅供参考）</w:t>
      </w:r>
    </w:p>
    <w:p w14:paraId="44953E62">
      <w:pPr>
        <w:pStyle w:val="3"/>
        <w:keepNext w:val="0"/>
        <w:keepLines w:val="0"/>
        <w:pageBreakBefore w:val="0"/>
        <w:widowControl w:val="0"/>
        <w:kinsoku/>
        <w:wordWrap/>
        <w:overflowPunct/>
        <w:topLinePunct w:val="0"/>
        <w:autoSpaceDE/>
        <w:autoSpaceDN/>
        <w:bidi w:val="0"/>
        <w:adjustRightInd w:val="0"/>
        <w:snapToGrid w:val="0"/>
        <w:spacing w:after="0" w:line="58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sz w:val="32"/>
          <w:szCs w:val="32"/>
        </w:rPr>
        <w:t>一</w:t>
      </w:r>
      <w:r>
        <w:rPr>
          <w:rFonts w:hint="eastAsia" w:ascii="黑体" w:hAnsi="黑体" w:eastAsia="黑体" w:cs="黑体"/>
          <w:color w:val="auto"/>
          <w:sz w:val="32"/>
          <w:szCs w:val="32"/>
        </w:rPr>
        <w:t>、基础材料</w:t>
      </w:r>
      <w:r>
        <w:rPr>
          <w:rFonts w:hint="eastAsia" w:ascii="黑体" w:hAnsi="黑体" w:eastAsia="黑体" w:cs="黑体"/>
          <w:color w:val="auto"/>
          <w:sz w:val="32"/>
          <w:szCs w:val="32"/>
          <w:lang w:eastAsia="zh-CN"/>
        </w:rPr>
        <w:t>（所有企业均需提供）</w:t>
      </w:r>
    </w:p>
    <w:p w14:paraId="374A6FF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（一）《专精特新中小企业申请书》或《专精特新中小企业复核申请书》（由优质中小企业梯度培育平台https：//zjtx.miit.gov.cn/下载导出打印，</w:t>
      </w:r>
      <w:r>
        <w:rPr>
          <w:rFonts w:hint="default" w:ascii="Times New Roman" w:hAnsi="Times New Roman" w:eastAsia="仿宋_GB2312" w:cs="Times New Roman"/>
          <w:color w:val="auto"/>
          <w:sz w:val="32"/>
          <w:szCs w:val="32"/>
        </w:rPr>
        <w:t>相关数据须与培育平台申报系统保持一致，</w:t>
      </w:r>
      <w:r>
        <w:rPr>
          <w:rFonts w:hint="default" w:ascii="Times New Roman" w:hAnsi="Times New Roman" w:eastAsia="仿宋_GB2312" w:cs="Times New Roman"/>
          <w:b/>
          <w:bCs/>
          <w:color w:val="auto"/>
          <w:sz w:val="32"/>
          <w:szCs w:val="32"/>
        </w:rPr>
        <w:t>在“真实性声明”处由法定代表人签</w:t>
      </w:r>
      <w:r>
        <w:rPr>
          <w:rFonts w:hint="default" w:ascii="Times New Roman" w:hAnsi="Times New Roman" w:eastAsia="仿宋_GB2312" w:cs="Times New Roman"/>
          <w:b/>
          <w:bCs/>
          <w:color w:val="auto"/>
          <w:sz w:val="32"/>
          <w:szCs w:val="32"/>
          <w:lang w:eastAsia="zh-CN"/>
        </w:rPr>
        <w:t>章</w:t>
      </w:r>
      <w:r>
        <w:rPr>
          <w:rFonts w:hint="default" w:ascii="Times New Roman" w:hAnsi="Times New Roman" w:eastAsia="仿宋_GB2312" w:cs="Times New Roman"/>
          <w:b/>
          <w:bCs/>
          <w:color w:val="auto"/>
          <w:sz w:val="32"/>
          <w:szCs w:val="32"/>
        </w:rPr>
        <w:t>，并在封面</w:t>
      </w:r>
      <w:r>
        <w:rPr>
          <w:rFonts w:hint="default" w:ascii="Times New Roman" w:hAnsi="Times New Roman" w:eastAsia="仿宋_GB2312" w:cs="Times New Roman"/>
          <w:b/>
          <w:bCs/>
          <w:color w:val="auto"/>
          <w:sz w:val="32"/>
          <w:szCs w:val="32"/>
          <w:lang w:eastAsia="zh-CN"/>
        </w:rPr>
        <w:t>和“真实性声明”处</w:t>
      </w:r>
      <w:r>
        <w:rPr>
          <w:rFonts w:hint="default" w:ascii="Times New Roman" w:hAnsi="Times New Roman" w:eastAsia="仿宋_GB2312" w:cs="Times New Roman"/>
          <w:b/>
          <w:bCs/>
          <w:color w:val="auto"/>
          <w:sz w:val="32"/>
          <w:szCs w:val="32"/>
        </w:rPr>
        <w:t>加盖</w:t>
      </w:r>
      <w:r>
        <w:rPr>
          <w:rFonts w:hint="default" w:ascii="Times New Roman" w:hAnsi="Times New Roman" w:eastAsia="仿宋_GB2312" w:cs="Times New Roman"/>
          <w:b/>
          <w:bCs/>
          <w:color w:val="auto"/>
          <w:sz w:val="32"/>
          <w:szCs w:val="32"/>
          <w:lang w:eastAsia="zh-CN"/>
        </w:rPr>
        <w:t>企业</w:t>
      </w:r>
      <w:r>
        <w:rPr>
          <w:rFonts w:hint="default" w:ascii="Times New Roman" w:hAnsi="Times New Roman" w:eastAsia="仿宋_GB2312" w:cs="Times New Roman"/>
          <w:b/>
          <w:bCs/>
          <w:color w:val="auto"/>
          <w:sz w:val="32"/>
          <w:szCs w:val="32"/>
        </w:rPr>
        <w:t>公章</w:t>
      </w:r>
      <w:r>
        <w:rPr>
          <w:rFonts w:hint="default" w:ascii="Times New Roman" w:hAnsi="Times New Roman" w:eastAsia="仿宋_GB2312" w:cs="Times New Roman"/>
          <w:color w:val="auto"/>
          <w:sz w:val="32"/>
          <w:szCs w:val="32"/>
          <w:lang w:eastAsia="zh-CN"/>
        </w:rPr>
        <w:t>）；</w:t>
      </w:r>
    </w:p>
    <w:p w14:paraId="5D374FE4">
      <w:pPr>
        <w:pStyle w:val="9"/>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（二）企业营业执照复印件；</w:t>
      </w:r>
    </w:p>
    <w:p w14:paraId="14CFFA2D">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企业主营业务及主导产品情况说明，包括企业在产业链供应链关键环节及关键领域“补短板”“锻长板”“填空白”取得的实际成效描述，属于工业“六基”领域、中华老字号名录或企业主导产品服务关键重点龙头企业的相关情况描述</w:t>
      </w:r>
      <w:r>
        <w:rPr>
          <w:rFonts w:hint="default" w:ascii="Times New Roman" w:hAnsi="Times New Roman" w:eastAsia="仿宋_GB2312" w:cs="Times New Roman"/>
          <w:b/>
          <w:bCs/>
          <w:color w:val="auto"/>
          <w:sz w:val="32"/>
          <w:szCs w:val="32"/>
          <w:lang w:eastAsia="zh-CN"/>
        </w:rPr>
        <w:t>（500字以内，加盖企业公章）</w:t>
      </w:r>
      <w:r>
        <w:rPr>
          <w:rFonts w:hint="default" w:ascii="Times New Roman" w:hAnsi="Times New Roman" w:eastAsia="仿宋_GB2312" w:cs="Times New Roman"/>
          <w:color w:val="auto"/>
          <w:sz w:val="32"/>
          <w:szCs w:val="32"/>
          <w:lang w:eastAsia="zh-CN"/>
        </w:rPr>
        <w:t>；</w:t>
      </w:r>
    </w:p>
    <w:p w14:paraId="3C75AEB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lang w:val="en-US" w:eastAsia="zh-CN"/>
        </w:rPr>
        <w:t>2023年、2024年和2025年</w:t>
      </w:r>
      <w:r>
        <w:rPr>
          <w:rFonts w:hint="default" w:ascii="Times New Roman" w:hAnsi="Times New Roman" w:eastAsia="仿宋_GB2312" w:cs="Times New Roman"/>
          <w:color w:val="auto"/>
          <w:sz w:val="32"/>
          <w:szCs w:val="32"/>
        </w:rPr>
        <w:t>财务数据佐证材料（</w:t>
      </w:r>
      <w:r>
        <w:rPr>
          <w:rFonts w:hint="default" w:ascii="Times New Roman" w:hAnsi="Times New Roman" w:eastAsia="仿宋_GB2312" w:cs="Times New Roman"/>
          <w:sz w:val="32"/>
          <w:szCs w:val="32"/>
        </w:rPr>
        <w:t>2</w:t>
      </w:r>
      <w:r>
        <w:rPr>
          <w:rFonts w:hint="eastAsia" w:ascii="Times New Roman" w:hAnsi="Times New Roman" w:cs="Times New Roman"/>
          <w:sz w:val="32"/>
          <w:szCs w:val="32"/>
          <w:lang w:val="en-US" w:eastAsia="zh-CN"/>
        </w:rPr>
        <w:t>02</w:t>
      </w:r>
      <w:r>
        <w:rPr>
          <w:rFonts w:hint="default" w:ascii="Times New Roman" w:hAnsi="Times New Roman" w:eastAsia="仿宋_GB2312" w:cs="Times New Roman"/>
          <w:sz w:val="32"/>
          <w:szCs w:val="32"/>
        </w:rPr>
        <w:t>5年财务审计报告需提供财政部注册会计师行业统一监管平台（http://acc.mof.gov.cn）报备后的已赋码版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审计报告须包含主营业务收入、主营业务成本两项指标</w:t>
      </w:r>
      <w:r>
        <w:rPr>
          <w:rFonts w:hint="default" w:ascii="Times New Roman" w:hAnsi="Times New Roman" w:eastAsia="仿宋_GB2312" w:cs="Times New Roman"/>
          <w:color w:val="auto"/>
          <w:sz w:val="32"/>
          <w:szCs w:val="32"/>
          <w:lang w:val="en-US" w:eastAsia="zh-CN"/>
        </w:rPr>
        <w:t>）；</w:t>
      </w:r>
    </w:p>
    <w:p w14:paraId="4D7DBE0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b/>
          <w:bCs/>
          <w:color w:val="auto"/>
          <w:sz w:val="32"/>
          <w:szCs w:val="32"/>
          <w:lang w:val="en-US" w:eastAsia="zh-CN"/>
        </w:rPr>
        <w:t>2025</w:t>
      </w:r>
      <w:r>
        <w:rPr>
          <w:rFonts w:hint="default" w:ascii="Times New Roman" w:hAnsi="Times New Roman" w:eastAsia="仿宋_GB2312" w:cs="Times New Roman"/>
          <w:b/>
          <w:bCs/>
          <w:color w:val="auto"/>
          <w:sz w:val="32"/>
          <w:szCs w:val="32"/>
        </w:rPr>
        <w:t>年</w:t>
      </w:r>
      <w:r>
        <w:rPr>
          <w:rFonts w:hint="default" w:ascii="Times New Roman" w:hAnsi="Times New Roman" w:eastAsia="仿宋_GB2312" w:cs="Times New Roman"/>
          <w:b/>
          <w:bCs/>
          <w:color w:val="auto"/>
          <w:sz w:val="32"/>
          <w:szCs w:val="32"/>
          <w:lang w:eastAsia="zh-CN"/>
        </w:rPr>
        <w:t>度</w:t>
      </w:r>
      <w:r>
        <w:rPr>
          <w:rFonts w:hint="default" w:ascii="Times New Roman" w:hAnsi="Times New Roman" w:eastAsia="仿宋_GB2312" w:cs="Times New Roman"/>
          <w:b/>
          <w:bCs/>
          <w:color w:val="auto"/>
          <w:sz w:val="32"/>
          <w:szCs w:val="32"/>
        </w:rPr>
        <w:t>12月份的企业社会保险参保证明</w:t>
      </w:r>
      <w:r>
        <w:rPr>
          <w:rFonts w:hint="default" w:ascii="Times New Roman" w:hAnsi="Times New Roman" w:eastAsia="仿宋_GB2312" w:cs="Times New Roman"/>
          <w:color w:val="auto"/>
          <w:sz w:val="32"/>
          <w:szCs w:val="32"/>
        </w:rPr>
        <w:t>（需体现</w:t>
      </w:r>
      <w:r>
        <w:rPr>
          <w:rFonts w:hint="default" w:ascii="Times New Roman" w:hAnsi="Times New Roman" w:eastAsia="仿宋_GB2312" w:cs="Times New Roman"/>
          <w:color w:val="auto"/>
          <w:sz w:val="32"/>
          <w:szCs w:val="32"/>
          <w:lang w:eastAsia="zh-CN"/>
        </w:rPr>
        <w:t>企业</w:t>
      </w:r>
      <w:r>
        <w:rPr>
          <w:rFonts w:hint="default" w:ascii="Times New Roman" w:hAnsi="Times New Roman" w:eastAsia="仿宋_GB2312" w:cs="Times New Roman"/>
          <w:color w:val="auto"/>
          <w:sz w:val="32"/>
          <w:szCs w:val="32"/>
        </w:rPr>
        <w:t>社保缴费</w:t>
      </w:r>
      <w:r>
        <w:rPr>
          <w:rFonts w:hint="default" w:ascii="Times New Roman" w:hAnsi="Times New Roman" w:eastAsia="仿宋_GB2312" w:cs="Times New Roman"/>
          <w:color w:val="auto"/>
          <w:sz w:val="32"/>
          <w:szCs w:val="32"/>
          <w:lang w:eastAsia="zh-CN"/>
        </w:rPr>
        <w:t>总</w:t>
      </w:r>
      <w:r>
        <w:rPr>
          <w:rFonts w:hint="default" w:ascii="Times New Roman" w:hAnsi="Times New Roman" w:eastAsia="仿宋_GB2312" w:cs="Times New Roman"/>
          <w:color w:val="auto"/>
          <w:sz w:val="32"/>
          <w:szCs w:val="32"/>
        </w:rPr>
        <w:t>人数</w:t>
      </w:r>
      <w:r>
        <w:rPr>
          <w:rFonts w:hint="default" w:ascii="Times New Roman" w:hAnsi="Times New Roman" w:eastAsia="仿宋_GB2312" w:cs="Times New Roman"/>
          <w:color w:val="auto"/>
          <w:sz w:val="32"/>
          <w:szCs w:val="32"/>
          <w:lang w:eastAsia="zh-CN"/>
        </w:rPr>
        <w:t>，并且与申报表中所填职工人数一致</w:t>
      </w:r>
      <w:r>
        <w:rPr>
          <w:rFonts w:hint="default" w:ascii="Times New Roman" w:hAnsi="Times New Roman" w:eastAsia="仿宋_GB2312" w:cs="Times New Roman"/>
          <w:color w:val="auto"/>
          <w:sz w:val="32"/>
          <w:szCs w:val="32"/>
        </w:rPr>
        <w:t>；如企业以合并报表数据申报，则需提供母公司及合并子公司的</w:t>
      </w:r>
      <w:r>
        <w:rPr>
          <w:rFonts w:hint="default" w:ascii="Times New Roman" w:hAnsi="Times New Roman" w:eastAsia="仿宋_GB2312" w:cs="Times New Roman"/>
          <w:color w:val="auto"/>
          <w:sz w:val="32"/>
          <w:szCs w:val="32"/>
          <w:lang w:eastAsia="zh-CN"/>
        </w:rPr>
        <w:t>上</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度</w:t>
      </w:r>
      <w:r>
        <w:rPr>
          <w:rFonts w:hint="default" w:ascii="Times New Roman" w:hAnsi="Times New Roman" w:eastAsia="仿宋_GB2312" w:cs="Times New Roman"/>
          <w:color w:val="auto"/>
          <w:sz w:val="32"/>
          <w:szCs w:val="32"/>
        </w:rPr>
        <w:t>12月份的企业社保缴费人数证明）；</w:t>
      </w:r>
    </w:p>
    <w:p w14:paraId="430C076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（六）202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年以来未发生重大安全（含网络安全、数据安全）、质量、环境污染等事故以及偷漏税等违法违规行为证明材料（在信用中国https://www.creditchina.gov.cn/下载企业公共信用信息报告）</w:t>
      </w:r>
    </w:p>
    <w:p w14:paraId="36F0081E">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直通条件佐证材料</w:t>
      </w:r>
      <w:r>
        <w:rPr>
          <w:rFonts w:hint="eastAsia" w:ascii="黑体" w:hAnsi="黑体" w:eastAsia="黑体" w:cs="黑体"/>
          <w:sz w:val="32"/>
          <w:szCs w:val="32"/>
          <w:lang w:eastAsia="zh-CN"/>
        </w:rPr>
        <w:t>（满足直通企业提供）</w:t>
      </w:r>
    </w:p>
    <w:p w14:paraId="15342CB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color w:val="auto"/>
          <w:sz w:val="32"/>
          <w:szCs w:val="32"/>
          <w:lang w:val="en-US" w:eastAsia="zh-CN"/>
        </w:rPr>
        <w:t>近三年获得国家级、省级科技奖励相关证书，并提供获奖单位排名（</w:t>
      </w:r>
      <w:r>
        <w:rPr>
          <w:rFonts w:hint="default" w:ascii="Times New Roman" w:hAnsi="Times New Roman" w:eastAsia="仿宋_GB2312" w:cs="Times New Roman"/>
          <w:color w:val="auto"/>
          <w:sz w:val="32"/>
          <w:szCs w:val="32"/>
        </w:rPr>
        <w:t>国家级科技奖励包括国家科学技术进步奖、国家自然科学奖、国家技术发明奖、国防科技奖；省</w:t>
      </w:r>
      <w:r>
        <w:rPr>
          <w:rFonts w:hint="default" w:ascii="Times New Roman" w:hAnsi="Times New Roman" w:eastAsia="仿宋_GB2312" w:cs="Times New Roman"/>
          <w:color w:val="auto"/>
          <w:sz w:val="32"/>
          <w:szCs w:val="32"/>
          <w:lang w:eastAsia="zh-CN"/>
        </w:rPr>
        <w:t>级</w:t>
      </w:r>
      <w:r>
        <w:rPr>
          <w:rFonts w:hint="default" w:ascii="Times New Roman" w:hAnsi="Times New Roman" w:eastAsia="仿宋_GB2312" w:cs="Times New Roman"/>
          <w:color w:val="auto"/>
          <w:sz w:val="32"/>
          <w:szCs w:val="32"/>
        </w:rPr>
        <w:t>科技奖励</w:t>
      </w:r>
      <w:r>
        <w:rPr>
          <w:rFonts w:hint="default" w:ascii="Times New Roman" w:hAnsi="Times New Roman" w:eastAsia="仿宋_GB2312" w:cs="Times New Roman"/>
          <w:color w:val="auto"/>
          <w:sz w:val="32"/>
          <w:szCs w:val="32"/>
          <w:lang w:eastAsia="zh-CN"/>
        </w:rPr>
        <w:t>包括各省、自治区、直辖市科学技术奖的一、二、三等奖</w:t>
      </w:r>
      <w:r>
        <w:rPr>
          <w:rFonts w:hint="default" w:ascii="Times New Roman" w:hAnsi="Times New Roman" w:eastAsia="仿宋_GB2312" w:cs="Times New Roman"/>
          <w:color w:val="auto"/>
          <w:sz w:val="32"/>
          <w:szCs w:val="32"/>
        </w:rPr>
        <w:t>；获奖证书需体现企业名称</w:t>
      </w:r>
      <w:r>
        <w:rPr>
          <w:rFonts w:hint="default" w:ascii="Times New Roman" w:hAnsi="Times New Roman" w:eastAsia="仿宋_GB2312" w:cs="Times New Roman"/>
          <w:color w:val="auto"/>
          <w:sz w:val="32"/>
          <w:szCs w:val="32"/>
          <w:lang w:val="en-US" w:eastAsia="zh-CN"/>
        </w:rPr>
        <w:t>）；</w:t>
      </w:r>
    </w:p>
    <w:p w14:paraId="02A89BD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（二）近两年新增股权融资总额及佐证材料，</w:t>
      </w:r>
      <w:r>
        <w:rPr>
          <w:rFonts w:hint="default" w:ascii="Times New Roman" w:hAnsi="Times New Roman" w:eastAsia="仿宋_GB2312" w:cs="Times New Roman"/>
          <w:color w:val="auto"/>
          <w:sz w:val="32"/>
          <w:szCs w:val="32"/>
        </w:rPr>
        <w:t>包括投资者符合《实施细则》所规定合格机构投资者的证明材料、银行到账凭证、出让股权不超过30%证明材料</w:t>
      </w:r>
      <w:r>
        <w:rPr>
          <w:rFonts w:hint="default" w:ascii="Times New Roman" w:hAnsi="Times New Roman" w:eastAsia="仿宋_GB2312" w:cs="Times New Roman"/>
          <w:color w:val="auto"/>
          <w:sz w:val="32"/>
          <w:szCs w:val="32"/>
          <w:lang w:eastAsia="zh-CN"/>
        </w:rPr>
        <w:t>、投资协议等</w:t>
      </w:r>
      <w:r>
        <w:rPr>
          <w:rFonts w:hint="default" w:ascii="Times New Roman" w:hAnsi="Times New Roman" w:eastAsia="仿宋_GB2312" w:cs="Times New Roman"/>
          <w:color w:val="auto"/>
          <w:sz w:val="32"/>
          <w:szCs w:val="32"/>
          <w:lang w:val="en-US" w:eastAsia="zh-CN"/>
        </w:rPr>
        <w:t>；</w:t>
      </w:r>
    </w:p>
    <w:p w14:paraId="52D53CB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（三）近三年进入“创客中国”中小企业创新创业大赛全国500强企业组的相关佐证</w:t>
      </w:r>
      <w:r>
        <w:rPr>
          <w:rFonts w:hint="default" w:ascii="Times New Roman" w:hAnsi="Times New Roman" w:eastAsia="仿宋_GB2312" w:cs="Times New Roman"/>
          <w:color w:val="auto"/>
          <w:sz w:val="32"/>
          <w:szCs w:val="32"/>
          <w:lang w:eastAsia="zh-CN"/>
        </w:rPr>
        <w:t>）；</w:t>
      </w:r>
    </w:p>
    <w:p w14:paraId="2C46BE31">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重要指标佐证材料（符合打分条件企业提供）</w:t>
      </w:r>
    </w:p>
    <w:p w14:paraId="4F8E3B6C">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数字化水平佐证材料（企业自行登录优质中小企业梯度培育平台，在首页“数字化水平评测”-“去自评”进行数字化水平评测，评测完成后下载评测报告并加盖企业公章）；</w:t>
      </w:r>
    </w:p>
    <w:p w14:paraId="7A7E78A0">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企业质量管理水平佐证材料（省级以上质量奖证书、质量管理体系认证证书、自主品牌商标注册证、参与制修订标准的参编证明、</w:t>
      </w:r>
      <w:r>
        <w:rPr>
          <w:rFonts w:hint="default" w:ascii="Times New Roman" w:hAnsi="Times New Roman" w:eastAsia="仿宋_GB2312" w:cs="Times New Roman"/>
          <w:color w:val="auto"/>
          <w:sz w:val="32"/>
          <w:szCs w:val="32"/>
        </w:rPr>
        <w:t>获得发达国家或地区认证证书</w:t>
      </w:r>
      <w:r>
        <w:rPr>
          <w:rFonts w:hint="default" w:ascii="Times New Roman" w:hAnsi="Times New Roman" w:eastAsia="仿宋_GB2312" w:cs="Times New Roman"/>
          <w:color w:val="auto"/>
          <w:sz w:val="32"/>
          <w:szCs w:val="32"/>
          <w:lang w:eastAsia="zh-CN"/>
        </w:rPr>
        <w:t>等，根据企业实际情况提供）</w:t>
      </w:r>
      <w:r>
        <w:rPr>
          <w:rFonts w:hint="eastAsia" w:ascii="Times New Roman" w:hAnsi="Times New Roman" w:cs="Times New Roman"/>
          <w:color w:val="auto"/>
          <w:sz w:val="32"/>
          <w:szCs w:val="32"/>
          <w:lang w:eastAsia="zh-CN"/>
        </w:rPr>
        <w:t>；</w:t>
      </w:r>
    </w:p>
    <w:p w14:paraId="12C7C35C">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企业税收贡献佐证材料，</w:t>
      </w:r>
      <w:r>
        <w:rPr>
          <w:rFonts w:hint="default" w:ascii="Times New Roman" w:hAnsi="Times New Roman" w:eastAsia="仿宋_GB2312" w:cs="Times New Roman"/>
          <w:color w:val="auto"/>
          <w:sz w:val="32"/>
          <w:szCs w:val="32"/>
        </w:rPr>
        <w:t>提供带税务印</w:t>
      </w:r>
      <w:r>
        <w:rPr>
          <w:rFonts w:hint="default" w:ascii="Times New Roman" w:hAnsi="Times New Roman" w:eastAsia="仿宋_GB2312" w:cs="Times New Roman"/>
          <w:color w:val="auto"/>
          <w:sz w:val="32"/>
          <w:szCs w:val="32"/>
          <w:lang w:val="en-US" w:eastAsia="zh-CN"/>
        </w:rPr>
        <w:t>章的2025年度纳税申报表，企业纳入“四上”企业</w:t>
      </w:r>
      <w:r>
        <w:rPr>
          <w:rFonts w:hint="eastAsia" w:ascii="Times New Roman" w:hAnsi="Times New Roman" w:cs="Times New Roman"/>
          <w:color w:val="auto"/>
          <w:sz w:val="32"/>
          <w:szCs w:val="32"/>
          <w:lang w:val="en-US" w:eastAsia="zh-CN"/>
        </w:rPr>
        <w:t>（规上）</w:t>
      </w:r>
      <w:r>
        <w:rPr>
          <w:rFonts w:hint="default" w:ascii="Times New Roman" w:hAnsi="Times New Roman" w:eastAsia="仿宋_GB2312" w:cs="Times New Roman"/>
          <w:color w:val="auto"/>
          <w:sz w:val="32"/>
          <w:szCs w:val="32"/>
          <w:lang w:eastAsia="zh-CN"/>
        </w:rPr>
        <w:t>的相关佐证</w:t>
      </w:r>
      <w:r>
        <w:rPr>
          <w:rFonts w:hint="eastAsia" w:ascii="Times New Roman" w:hAnsi="Times New Roman" w:cs="Times New Roman"/>
          <w:color w:val="auto"/>
          <w:sz w:val="32"/>
          <w:szCs w:val="32"/>
          <w:lang w:eastAsia="zh-CN"/>
        </w:rPr>
        <w:t>（国家统计局报表填报截图）；</w:t>
      </w:r>
    </w:p>
    <w:p w14:paraId="3AC9BD41">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企业上市情况佐证材料（根据企业上市阶段提供相应佐证，仅限于本企业主体上市情况，不包括母公司、集团公司等）</w:t>
      </w:r>
    </w:p>
    <w:p w14:paraId="6928E7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1.已上市企业提供上市公告（上交所、深交所、港交所或境外上市）；</w:t>
      </w:r>
    </w:p>
    <w:p w14:paraId="037FA87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2.拟上市并已进入上市实质阶段的企业提供企业上市申请受理通知，或湖北证监局上市辅导备案证明，或新三板挂牌公告。</w:t>
      </w:r>
    </w:p>
    <w:p w14:paraId="0ABF42D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3.纳入湖北省上市“金种子”“银种子”企业，提供相关通知文件及对应名单。</w:t>
      </w:r>
    </w:p>
    <w:p w14:paraId="17C77A1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（五）特色经营及称号佐证材料（根据企业自身情况提供相应佐证）</w:t>
      </w:r>
    </w:p>
    <w:p w14:paraId="67819AF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1.湖北省老字号或驰名商标证书；</w:t>
      </w:r>
    </w:p>
    <w:p w14:paraId="1BB7C14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2.获得市级及以上行政部门认定的科技型企业、示范企业相关证明；国家高新技术企业称号证明；技术创新、品牌、专利等奖项获奖证明；</w:t>
      </w:r>
    </w:p>
    <w:p w14:paraId="6AD7CDE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3.企业近三年（2023年以来）进行数字化、智能化、绿色化改造的相应证明，包括改造所签订的合同、改造成果、现场照片等；</w:t>
      </w:r>
    </w:p>
    <w:p w14:paraId="4AF87E8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4.近三年（2023年以来）进入“创客中国”湖北省创新创业大赛企业组决赛相关证明</w:t>
      </w:r>
      <w:r>
        <w:rPr>
          <w:rFonts w:hint="eastAsia" w:ascii="Times New Roman" w:hAnsi="Times New Roman" w:cs="Times New Roman"/>
          <w:color w:val="auto"/>
          <w:sz w:val="32"/>
          <w:szCs w:val="32"/>
          <w:lang w:val="en-US" w:eastAsia="zh-CN"/>
        </w:rPr>
        <w:t>；</w:t>
      </w:r>
    </w:p>
    <w:p w14:paraId="44132C25">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5.属大中小企业融通特色载体或经省级以上中小企业主管部门认定的中小企业特色产业集群、小型微型企业创业创新示范基地内的企业的相关证明</w:t>
      </w:r>
      <w:r>
        <w:rPr>
          <w:rFonts w:hint="eastAsia" w:ascii="Times New Roman" w:hAnsi="Times New Roman" w:cs="Times New Roman"/>
          <w:color w:val="auto"/>
          <w:sz w:val="32"/>
          <w:szCs w:val="32"/>
          <w:lang w:val="en-US" w:eastAsia="zh-CN"/>
        </w:rPr>
        <w:t>；</w:t>
      </w:r>
    </w:p>
    <w:p w14:paraId="79EFCF1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与企业主导产品相关的有效知识产权佐证材料（只需提供符合要求的评分值较高的1项知识产权</w:t>
      </w:r>
      <w:r>
        <w:rPr>
          <w:rFonts w:hint="default" w:ascii="Times New Roman" w:hAnsi="Times New Roman" w:eastAsia="仿宋_GB2312" w:cs="Times New Roman"/>
          <w:color w:val="auto"/>
          <w:sz w:val="32"/>
          <w:szCs w:val="32"/>
          <w:lang w:eastAsia="zh-CN"/>
        </w:rPr>
        <w:t>佐证</w:t>
      </w:r>
      <w:r>
        <w:rPr>
          <w:rFonts w:hint="default" w:ascii="Times New Roman" w:hAnsi="Times New Roman" w:eastAsia="仿宋_GB2312" w:cs="Times New Roman"/>
          <w:color w:val="auto"/>
          <w:sz w:val="32"/>
          <w:szCs w:val="32"/>
        </w:rPr>
        <w:t>；其中“I类高价值知识产权”需提供《实施细则》中“部分指标和要求说明”所列条件的证明材料，“自主研发的I类知识产权”需提供企业申请该知识产权的证明材料</w:t>
      </w:r>
      <w:r>
        <w:rPr>
          <w:rFonts w:hint="default" w:ascii="Times New Roman" w:hAnsi="Times New Roman" w:eastAsia="仿宋_GB2312" w:cs="Times New Roman"/>
          <w:color w:val="auto"/>
          <w:sz w:val="32"/>
          <w:szCs w:val="32"/>
          <w:lang w:eastAsia="zh-CN"/>
        </w:rPr>
        <w:t>和专利登记附页</w:t>
      </w:r>
      <w:r>
        <w:rPr>
          <w:rFonts w:hint="default" w:ascii="Times New Roman" w:hAnsi="Times New Roman" w:eastAsia="仿宋_GB2312" w:cs="Times New Roman"/>
          <w:color w:val="auto"/>
          <w:sz w:val="32"/>
          <w:szCs w:val="32"/>
        </w:rPr>
        <w:t>，均不包含转让未满1年的知识产权）；</w:t>
      </w:r>
    </w:p>
    <w:p w14:paraId="5E9E5A6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（七）企业研发机构佐证材料（国家级、省级研发机构证书；市级研发机构提供备案情况材料；市级以下研发机构提供企业建立研发机构的通知。研发机构均需提供相应实地照片佐证）；</w:t>
      </w:r>
    </w:p>
    <w:p w14:paraId="5545FFB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sz w:val="32"/>
          <w:szCs w:val="32"/>
        </w:rPr>
        <w:t>可以证明符合条件的其他材料</w:t>
      </w:r>
      <w:r>
        <w:rPr>
          <w:rFonts w:hint="default" w:ascii="Times New Roman" w:hAnsi="Times New Roman" w:eastAsia="仿宋_GB2312" w:cs="Times New Roman"/>
          <w:sz w:val="32"/>
          <w:szCs w:val="32"/>
          <w:lang w:eastAsia="zh-CN"/>
        </w:rPr>
        <w:t>。</w:t>
      </w:r>
    </w:p>
    <w:p w14:paraId="3CC6C687">
      <w:pPr>
        <w:pStyle w:val="2"/>
        <w:keepNext w:val="0"/>
        <w:keepLines w:val="0"/>
        <w:pageBreakBefore w:val="0"/>
        <w:numPr>
          <w:ilvl w:val="0"/>
          <w:numId w:val="0"/>
        </w:numPr>
        <w:kinsoku/>
        <w:wordWrap/>
        <w:overflowPunct/>
        <w:topLinePunct w:val="0"/>
        <w:autoSpaceDN/>
        <w:bidi w:val="0"/>
        <w:adjustRightInd/>
        <w:snapToGrid/>
        <w:spacing w:line="620" w:lineRule="exact"/>
        <w:textAlignment w:val="auto"/>
        <w:rPr>
          <w:rFonts w:hint="eastAsia" w:ascii="Times New Roman" w:hAnsi="Times New Roman" w:eastAsia="仿宋_GB2312" w:cs="仿宋_GB2312"/>
          <w:color w:val="auto"/>
          <w:sz w:val="32"/>
          <w:szCs w:val="32"/>
        </w:rPr>
      </w:pPr>
    </w:p>
    <w:p w14:paraId="0DF1D043">
      <w:pPr>
        <w:pStyle w:val="2"/>
        <w:keepNext w:val="0"/>
        <w:keepLines w:val="0"/>
        <w:pageBreakBefore w:val="0"/>
        <w:numPr>
          <w:ilvl w:val="0"/>
          <w:numId w:val="0"/>
        </w:numPr>
        <w:kinsoku/>
        <w:wordWrap/>
        <w:overflowPunct/>
        <w:topLinePunct w:val="0"/>
        <w:autoSpaceDN/>
        <w:bidi w:val="0"/>
        <w:adjustRightInd/>
        <w:snapToGrid/>
        <w:spacing w:line="620" w:lineRule="exact"/>
        <w:textAlignment w:val="auto"/>
        <w:rPr>
          <w:rFonts w:hint="eastAsia" w:ascii="Times New Roman" w:hAnsi="Times New Roman" w:eastAsia="仿宋_GB2312" w:cs="仿宋_GB2312"/>
          <w:color w:val="auto"/>
          <w:sz w:val="32"/>
          <w:szCs w:val="32"/>
          <w:lang w:eastAsia="zh-CN"/>
        </w:rPr>
      </w:pPr>
    </w:p>
    <w:p w14:paraId="7E38BDEA">
      <w:pPr>
        <w:pStyle w:val="2"/>
        <w:keepNext w:val="0"/>
        <w:keepLines w:val="0"/>
        <w:pageBreakBefore w:val="0"/>
        <w:numPr>
          <w:ilvl w:val="0"/>
          <w:numId w:val="0"/>
        </w:numPr>
        <w:kinsoku/>
        <w:wordWrap/>
        <w:overflowPunct/>
        <w:topLinePunct w:val="0"/>
        <w:autoSpaceDN/>
        <w:bidi w:val="0"/>
        <w:adjustRightInd/>
        <w:snapToGrid/>
        <w:spacing w:line="620" w:lineRule="exact"/>
        <w:textAlignment w:val="auto"/>
        <w:rPr>
          <w:rFonts w:hint="eastAsia" w:ascii="Times New Roman" w:hAnsi="Times New Roman" w:eastAsia="仿宋_GB2312" w:cs="Times New Roman"/>
          <w:color w:val="auto"/>
          <w:sz w:val="32"/>
          <w:szCs w:val="32"/>
          <w:lang w:val="en-US" w:eastAsia="zh-CN"/>
        </w:rPr>
      </w:pPr>
      <w:bookmarkStart w:id="0" w:name="_GoBack"/>
      <w:bookmarkEnd w:id="0"/>
    </w:p>
    <w:p w14:paraId="5533DABC">
      <w:pPr>
        <w:pStyle w:val="2"/>
        <w:keepNext w:val="0"/>
        <w:keepLines w:val="0"/>
        <w:pageBreakBefore w:val="0"/>
        <w:numPr>
          <w:ilvl w:val="0"/>
          <w:numId w:val="0"/>
        </w:numPr>
        <w:kinsoku/>
        <w:wordWrap/>
        <w:overflowPunct/>
        <w:topLinePunct w:val="0"/>
        <w:autoSpaceDN/>
        <w:bidi w:val="0"/>
        <w:adjustRightInd/>
        <w:snapToGrid/>
        <w:spacing w:line="620" w:lineRule="exact"/>
        <w:textAlignment w:val="auto"/>
        <w:rPr>
          <w:rFonts w:hint="eastAsia" w:ascii="Times New Roman" w:hAnsi="Times New Roman" w:cs="楷体"/>
          <w:color w:val="auto"/>
          <w:sz w:val="32"/>
          <w:szCs w:val="32"/>
          <w:lang w:eastAsia="zh-CN"/>
        </w:rPr>
      </w:pPr>
    </w:p>
    <w:p w14:paraId="0BB5707C">
      <w:pPr>
        <w:pStyle w:val="9"/>
        <w:rPr>
          <w:rFonts w:hint="eastAsia" w:ascii="Times New Roman" w:hAnsi="Times New Roman" w:cs="楷体"/>
          <w:color w:val="auto"/>
          <w:sz w:val="32"/>
          <w:szCs w:val="32"/>
          <w:lang w:eastAsia="zh-CN"/>
        </w:rPr>
      </w:pPr>
    </w:p>
    <w:sectPr>
      <w:pgSz w:w="11906" w:h="16838"/>
      <w:pgMar w:top="2098" w:right="1474" w:bottom="1701" w:left="1587" w:header="851" w:footer="992" w:gutter="0"/>
      <w:cols w:space="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F9B3FA-EFD5-4099-85A5-8B90F65C23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B4358231-A1B0-421E-A9EC-A6EBA957025D}"/>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0CFDF595-FA5A-4890-8345-21BFF9699C5F}"/>
  </w:font>
  <w:font w:name="楷体_GB2312">
    <w:altName w:val="楷体"/>
    <w:panose1 w:val="02010609030101010101"/>
    <w:charset w:val="86"/>
    <w:family w:val="auto"/>
    <w:pitch w:val="default"/>
    <w:sig w:usb0="00000000" w:usb1="00000000" w:usb2="00000000" w:usb3="00000000" w:csb0="00040000" w:csb1="00000000"/>
    <w:embedRegular r:id="rId4" w:fontKey="{F6776A88-7AC1-4616-ADD1-9593477C028F}"/>
  </w:font>
  <w:font w:name="楷体">
    <w:panose1 w:val="02010609060101010101"/>
    <w:charset w:val="86"/>
    <w:family w:val="auto"/>
    <w:pitch w:val="default"/>
    <w:sig w:usb0="800002BF" w:usb1="38CF7CFA" w:usb2="00000016" w:usb3="00000000" w:csb0="00040001" w:csb1="00000000"/>
    <w:embedRegular r:id="rId5" w:fontKey="{6F9AFE5F-8C07-4D0C-9B4F-8A9C8148B785}"/>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4BE93"/>
    <w:multiLevelType w:val="singleLevel"/>
    <w:tmpl w:val="DA54BE93"/>
    <w:lvl w:ilvl="0" w:tentative="0">
      <w:start w:val="1"/>
      <w:numFmt w:val="chineseCounting"/>
      <w:suff w:val="nothing"/>
      <w:lvlText w:val="（%1）"/>
      <w:lvlJc w:val="left"/>
      <w:rPr>
        <w:rFonts w:hint="eastAsia"/>
      </w:rPr>
    </w:lvl>
  </w:abstractNum>
  <w:abstractNum w:abstractNumId="1">
    <w:nsid w:val="7DFC0F5B"/>
    <w:multiLevelType w:val="singleLevel"/>
    <w:tmpl w:val="7DFC0F5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AF9BF"/>
    <w:rsid w:val="197DE209"/>
    <w:rsid w:val="27FFAF37"/>
    <w:rsid w:val="3C5FD12E"/>
    <w:rsid w:val="49BA7616"/>
    <w:rsid w:val="4FCF65F4"/>
    <w:rsid w:val="5E7C5DCC"/>
    <w:rsid w:val="70EB82E6"/>
    <w:rsid w:val="7EBE4EFA"/>
    <w:rsid w:val="8AEFA2B8"/>
    <w:rsid w:val="AFFAF9BF"/>
    <w:rsid w:val="BE7B97B2"/>
    <w:rsid w:val="BFFFB3ED"/>
    <w:rsid w:val="F3FD01A7"/>
    <w:rsid w:val="FEFB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ind w:firstLine="200" w:firstLineChars="200"/>
    </w:pPr>
    <w:rPr>
      <w:rFonts w:eastAsia="仿宋_GB2312" w:cs="宋体"/>
      <w:sz w:val="28"/>
      <w:szCs w:val="28"/>
    </w:rPr>
  </w:style>
  <w:style w:type="paragraph" w:styleId="3">
    <w:name w:val="Body Text"/>
    <w:basedOn w:val="1"/>
    <w:next w:val="4"/>
    <w:qFormat/>
    <w:uiPriority w:val="0"/>
    <w:pPr>
      <w:spacing w:before="0" w:after="140" w:line="276" w:lineRule="auto"/>
    </w:pPr>
    <w:rPr>
      <w:rFonts w:ascii="Calibri" w:hAnsi="Calibri" w:eastAsia="宋体" w:cs="宋体"/>
      <w:spacing w:val="0"/>
      <w:sz w:val="21"/>
      <w:szCs w:val="24"/>
    </w:rPr>
  </w:style>
  <w:style w:type="paragraph" w:styleId="4">
    <w:name w:val="Title"/>
    <w:basedOn w:val="1"/>
    <w:next w:val="1"/>
    <w:qFormat/>
    <w:uiPriority w:val="0"/>
    <w:pPr>
      <w:spacing w:line="240" w:lineRule="auto"/>
      <w:jc w:val="center"/>
      <w:outlineLvl w:val="0"/>
    </w:pPr>
    <w:rPr>
      <w:rFonts w:ascii="方正小标宋_GBK" w:hAnsi="方正小标宋_GBK" w:eastAsia="方正小标宋_GBK" w:cs="方正小标宋_GBK"/>
      <w:spacing w:val="0"/>
      <w:sz w:val="44"/>
      <w:szCs w:val="44"/>
    </w:rPr>
  </w:style>
  <w:style w:type="paragraph" w:customStyle="1" w:styleId="7">
    <w:name w:val="正文格式"/>
    <w:basedOn w:val="1"/>
    <w:qFormat/>
    <w:uiPriority w:val="0"/>
    <w:pPr>
      <w:spacing w:line="580" w:lineRule="exact"/>
    </w:pPr>
    <w:rPr>
      <w:rFonts w:ascii="Times New Roman" w:hAnsi="Times New Roman" w:eastAsia="仿宋_GB2312"/>
      <w:sz w:val="32"/>
    </w:rPr>
  </w:style>
  <w:style w:type="paragraph" w:customStyle="1" w:styleId="8">
    <w:name w:val="样式1"/>
    <w:basedOn w:val="1"/>
    <w:next w:val="1"/>
    <w:qFormat/>
    <w:uiPriority w:val="0"/>
    <w:pPr>
      <w:spacing w:line="580" w:lineRule="exact"/>
      <w:ind w:left="880" w:hanging="880" w:hangingChars="200"/>
    </w:pPr>
    <w:rPr>
      <w:rFonts w:hint="eastAsia" w:ascii="Times New Roman" w:hAnsi="Times New Roman" w:eastAsia="仿宋_GB2312"/>
      <w:sz w:val="32"/>
    </w:rPr>
  </w:style>
  <w:style w:type="paragraph" w:customStyle="1" w:styleId="9">
    <w:name w:val="PlainText"/>
    <w:basedOn w:val="1"/>
    <w:semiHidden/>
    <w:qFormat/>
    <w:uiPriority w:val="0"/>
    <w:pPr>
      <w:jc w:val="both"/>
      <w:textAlignment w:val="baseline"/>
    </w:pPr>
    <w:rPr>
      <w:rFonts w:ascii="宋体" w:hAnsi="Courier New"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1707</Words>
  <Characters>1827</Characters>
  <Lines>0</Lines>
  <Paragraphs>0</Paragraphs>
  <TotalTime>3</TotalTime>
  <ScaleCrop>false</ScaleCrop>
  <LinksUpToDate>false</LinksUpToDate>
  <CharactersWithSpaces>1827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2026-02-13T15:20:00Z</dcterms:created>
  <dc:creator>Yukizhu~</dc:creator>
  <cp:lastModifiedBy>成成成成成成成</cp:lastModifiedBy>
  <dcterms:modified xsi:type="dcterms:W3CDTF">2026-02-14T01:44:59Z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9FC758A9EA8170CABFD08E6986C39F3E_41</vt:lpwstr>
  </property>
  <property fmtid="{D5CDD505-2E9C-101B-9397-08002B2CF9AE}" pid="4" name="KSOTemplateDocerSaveRecord">
    <vt:lpwstr>eyJoZGlkIjoiMTRkZWM3MmI5NTRjOGM3M2M5Mzc4M2FkMWI2OTNlZjMiLCJ1c2VySWQiOiI4MzU5NzgyNzIifQ==</vt:lpwstr>
  </property>
</Properties>
</file>