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23" w:lineRule="atLeast"/>
        <w:jc w:val="center"/>
        <w:textAlignment w:val="baseline"/>
        <w:rPr>
          <w:rFonts w:hint="default" w:ascii="方正小标宋简体" w:eastAsia="方正小标宋简体"/>
          <w:bCs w:val="0"/>
          <w:w w:val="98"/>
          <w:kern w:val="2"/>
          <w:sz w:val="44"/>
          <w:szCs w:val="44"/>
        </w:rPr>
      </w:pPr>
      <w:r>
        <w:rPr>
          <w:rFonts w:hint="eastAsia" w:ascii="方正小标宋简体" w:eastAsia="方正小标宋简体"/>
          <w:bCs w:val="0"/>
          <w:w w:val="98"/>
          <w:kern w:val="2"/>
          <w:sz w:val="44"/>
          <w:szCs w:val="44"/>
        </w:rPr>
        <w:t>武汉市蔡甸区烟草制品零售点经营场所勘验测量标准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第一条  </w:t>
      </w:r>
      <w:r>
        <w:rPr>
          <w:rFonts w:hint="eastAsia" w:ascii="仿宋_GB2312" w:hAnsi="仿宋" w:eastAsia="仿宋_GB2312"/>
          <w:sz w:val="32"/>
          <w:szCs w:val="32"/>
        </w:rPr>
        <w:t>为统一测量标准，规范烟草制品零售点实地勘验的实施，确保勘验结果的公开、公平、公正，依据《武汉市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蔡甸区</w:t>
      </w:r>
      <w:r>
        <w:rPr>
          <w:rFonts w:hint="eastAsia" w:ascii="仿宋_GB2312" w:hAnsi="仿宋" w:eastAsia="仿宋_GB2312"/>
          <w:sz w:val="32"/>
          <w:szCs w:val="32"/>
        </w:rPr>
        <w:t>烟草制品零售点合理布局规划》制定本标准。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第二条  本标准适用于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蔡甸区</w:t>
      </w:r>
      <w:r>
        <w:rPr>
          <w:rFonts w:hint="eastAsia" w:ascii="仿宋_GB2312" w:hAnsi="宋体" w:eastAsia="仿宋_GB2312" w:cs="Times New Roman"/>
          <w:sz w:val="32"/>
          <w:szCs w:val="32"/>
        </w:rPr>
        <w:t>烟草专卖行政主管部门对烟草制品零售点布局的勘验。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第三条  烟草制品零售点勘验是指间隔距离的测量认定。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第四条  测量方式主要以利用手推式测距轮车手动测量为主，卷尺、皮尺等其他工具辅助测量。</w:t>
      </w:r>
    </w:p>
    <w:p>
      <w:pPr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第五条  </w:t>
      </w:r>
      <w:r>
        <w:rPr>
          <w:rFonts w:hint="eastAsia" w:ascii="仿宋_GB2312" w:hAnsi="仿宋" w:eastAsia="仿宋_GB2312"/>
          <w:sz w:val="32"/>
          <w:szCs w:val="32"/>
        </w:rPr>
        <w:t>距离测量应由两名或两名以上具有执法资格的专卖人员共同进行，测量结果应现场由申请人或其代理人确认。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第六条  间隔距离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按人正常行走</w:t>
      </w:r>
      <w:r>
        <w:rPr>
          <w:rFonts w:hint="eastAsia" w:ascii="仿宋_GB2312" w:hAnsi="宋体" w:eastAsia="仿宋_GB2312" w:cs="Times New Roman"/>
          <w:sz w:val="32"/>
          <w:szCs w:val="32"/>
        </w:rPr>
        <w:t>最近的通行距离进行测量，中间有障碍物的，原则上测量点应与障碍物保持30CM的距离，以供行人安全通过。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第七条 间隔距离按照以下标准测量：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（一）申请点与最近零售点经营场所同侧无障碍物的,测量最短直线距离。（如图 1 所示）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</w:p>
    <w:p>
      <w:pPr>
        <w:ind w:firstLine="210" w:firstLineChars="100"/>
        <w:jc w:val="center"/>
      </w:pPr>
      <w:r>
        <w:drawing>
          <wp:inline distT="0" distB="0" distL="114300" distR="114300">
            <wp:extent cx="4902835" cy="2643505"/>
            <wp:effectExtent l="0" t="0" r="1206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8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（二）申请点与最近零售点的经营场所同侧存在障碍物的，测量按直角分段绕过障碍物测量，分段距离之和即为申请点 与最近零售点经营场所间的距离。（如图 2 所示）</w:t>
      </w:r>
    </w:p>
    <w:p>
      <w:pPr>
        <w:ind w:firstLine="240" w:firstLineChars="100"/>
        <w:rPr>
          <w:rFonts w:ascii="宋体" w:hAnsi="宋体" w:eastAsia="宋体" w:cs="宋体"/>
          <w:sz w:val="24"/>
        </w:rPr>
      </w:pPr>
    </w:p>
    <w:p>
      <w:pPr>
        <w:ind w:firstLine="210" w:firstLineChars="100"/>
        <w:jc w:val="center"/>
      </w:pPr>
    </w:p>
    <w:p>
      <w:pPr>
        <w:ind w:firstLine="210" w:firstLineChars="100"/>
        <w:jc w:val="center"/>
      </w:pPr>
      <w:r>
        <w:drawing>
          <wp:inline distT="0" distB="0" distL="114300" distR="114300">
            <wp:extent cx="4750435" cy="2852420"/>
            <wp:effectExtent l="0" t="0" r="1206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10" w:firstLineChars="100"/>
        <w:jc w:val="center"/>
      </w:pP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（三）申请点与最近零售点的经营场所位于道路两侧，道路无隔离带和斑马线情形的，测量按申请点与零售点最短距离测量。（如图 3 所示）</w:t>
      </w:r>
    </w:p>
    <w:p>
      <w:pPr>
        <w:ind w:firstLine="210" w:firstLineChars="100"/>
        <w:jc w:val="center"/>
      </w:pPr>
    </w:p>
    <w:p>
      <w:pPr>
        <w:ind w:firstLine="240" w:firstLineChars="100"/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0150" cy="2762250"/>
            <wp:effectExtent l="0" t="0" r="0" b="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（四）申请点与最近零售点的经营场所位于道路两侧的，道路有隔离带但无斑马线情形的，选取最近障碍物断口开处，测量按直角分段测量，分段距离之和即为申请点与最近零售 点经营场所间的距离。（如图 4 所示）</w:t>
      </w:r>
    </w:p>
    <w:p>
      <w:pPr>
        <w:ind w:firstLine="210" w:firstLineChars="100"/>
        <w:jc w:val="center"/>
      </w:pPr>
    </w:p>
    <w:p>
      <w:pPr>
        <w:ind w:firstLine="210" w:firstLineChars="100"/>
        <w:jc w:val="center"/>
      </w:pPr>
      <w:r>
        <w:drawing>
          <wp:inline distT="0" distB="0" distL="114300" distR="114300">
            <wp:extent cx="5422265" cy="2522855"/>
            <wp:effectExtent l="0" t="0" r="6985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2265" cy="252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（五）申请点与最近零售点的经营场所位于道路两侧的，道路上有隔离带且有斑马线的，从隔离带最近开口处选取最近斑马线，按直角分段测量，分段距离之和即为申请点与最近零售点经营场所间的距离。（如图 5 所示）</w:t>
      </w:r>
    </w:p>
    <w:p>
      <w:pPr>
        <w:ind w:left="210" w:leftChars="100"/>
        <w:jc w:val="center"/>
      </w:pPr>
      <w:r>
        <w:drawing>
          <wp:inline distT="0" distB="0" distL="114300" distR="114300">
            <wp:extent cx="4174490" cy="1920875"/>
            <wp:effectExtent l="0" t="0" r="1651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4490" cy="192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（六）申请点与最近零售点的经营场所之间道路存在有转角的，按直角分段测量，分段距离之和即为申请点与最近零售点经营场所间的距离。（如图 6 所示）</w:t>
      </w:r>
    </w:p>
    <w:p>
      <w:pPr>
        <w:ind w:left="210" w:leftChars="100" w:firstLine="480" w:firstLineChars="200"/>
        <w:jc w:val="left"/>
        <w:rPr>
          <w:rFonts w:ascii="宋体" w:hAnsi="宋体" w:eastAsia="宋体" w:cs="宋体"/>
          <w:sz w:val="24"/>
        </w:rPr>
      </w:pPr>
    </w:p>
    <w:p>
      <w:pPr>
        <w:ind w:left="210" w:leftChars="100" w:firstLine="420" w:firstLineChars="200"/>
        <w:jc w:val="center"/>
      </w:pPr>
      <w:r>
        <w:drawing>
          <wp:inline distT="0" distB="0" distL="114300" distR="114300">
            <wp:extent cx="3492500" cy="2073910"/>
            <wp:effectExtent l="0" t="0" r="1270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210" w:leftChars="100" w:firstLine="420" w:firstLineChars="200"/>
        <w:jc w:val="left"/>
      </w:pP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（七）申请点出入口较多，取与最近零售点经营场所最短的出入口进行测量。（如图 7 所示）</w:t>
      </w:r>
    </w:p>
    <w:p>
      <w:pPr>
        <w:ind w:left="630" w:leftChars="300"/>
        <w:jc w:val="left"/>
      </w:pPr>
    </w:p>
    <w:p>
      <w:pPr>
        <w:ind w:left="630" w:leftChars="300"/>
        <w:jc w:val="center"/>
      </w:pPr>
      <w:r>
        <w:drawing>
          <wp:inline distT="0" distB="0" distL="114300" distR="114300">
            <wp:extent cx="4411345" cy="1711325"/>
            <wp:effectExtent l="0" t="0" r="8255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134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（八）申请点与最近零售点的经营场所之间有台阶、楼梯的，以其平面坡长进行测量（如图 8 所示）；有电梯的，以层高进行测量；楼梯与电梯并存的，以最短距离的为准。</w:t>
      </w:r>
    </w:p>
    <w:p>
      <w:pPr>
        <w:ind w:left="630" w:leftChars="300"/>
        <w:jc w:val="center"/>
      </w:pPr>
      <w:r>
        <w:drawing>
          <wp:inline distT="0" distB="0" distL="114300" distR="114300">
            <wp:extent cx="3608070" cy="1944370"/>
            <wp:effectExtent l="0" t="0" r="11430" b="177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0807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（九）各类市场、封闭式小区内、广场等区域零售点间距测量方法均以原设计道路、人行通道行人正常行走的最短距离进行测量。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（十）在商场商厦、综合体等大型建筑室内设置柜台的申请点，按照上述测量方法，以距离最近通道口的柜台中间点为测量起始点进行测量。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（十一）特殊地形测量：因地形、地貌或设计等原因导致道路、通道成不规则形态，通过前述方法无法测量的，取可安全通行路径最短距离进行测量。</w:t>
      </w:r>
    </w:p>
    <w:p>
      <w:pPr>
        <w:ind w:firstLine="640" w:firstLineChars="20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第八条  申请点与中小学、幼儿园的间距测量方法：</w:t>
      </w: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（一）申请点通道口与中小学、幼儿园通道口正对向或斜对向的，按照正常行走的最短距离测量：</w:t>
      </w:r>
      <w:r>
        <w:drawing>
          <wp:inline distT="0" distB="0" distL="114300" distR="114300">
            <wp:extent cx="3726180" cy="5356860"/>
            <wp:effectExtent l="0" t="0" r="7620" b="152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618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left"/>
      </w:pPr>
    </w:p>
    <w:p>
      <w:pPr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（二）申请点通道口与中小学、幼儿园通道口正对向或斜对向以外的，按照本标准第七条进行测量。</w:t>
      </w: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第九条  开展实地测量时，申请人应当在场，申请人无法到达现场的，须通过视频的方式由申请人确认测量情况，并由申请人指定的一名代理人现场确认。</w:t>
      </w: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第十条  测量应当拍照及全程视频记录，视频记录内容需包含但不限于测量全过程、申请人现场记录、实际测量距离数值等。</w:t>
      </w: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640" w:firstLineChars="20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第十一条  本标准由</w:t>
      </w:r>
      <w:r>
        <w:rPr>
          <w:rFonts w:hint="eastAsia" w:ascii="仿宋_GB2312" w:hAnsi="宋体" w:eastAsia="仿宋_GB2312"/>
          <w:kern w:val="2"/>
          <w:sz w:val="32"/>
          <w:szCs w:val="32"/>
          <w:lang w:val="en-US" w:eastAsia="zh-CN"/>
        </w:rPr>
        <w:t>武汉市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蔡甸区</w:t>
      </w:r>
      <w:r>
        <w:rPr>
          <w:rFonts w:hint="eastAsia" w:ascii="仿宋_GB2312" w:hAnsi="宋体" w:eastAsia="仿宋_GB2312"/>
          <w:kern w:val="2"/>
          <w:sz w:val="32"/>
          <w:szCs w:val="32"/>
        </w:rPr>
        <w:t>烟草专卖局负责解释。</w:t>
      </w: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 xml:space="preserve">第十二条  </w:t>
      </w:r>
      <w:r>
        <w:rPr>
          <w:rFonts w:hint="eastAsia" w:ascii="仿宋_GB2312" w:hAnsi="宋体" w:eastAsia="仿宋_GB2312"/>
          <w:sz w:val="32"/>
          <w:szCs w:val="32"/>
        </w:rPr>
        <w:t>本</w:t>
      </w:r>
      <w:r>
        <w:rPr>
          <w:rFonts w:hint="eastAsia" w:ascii="仿宋_GB2312" w:hAnsi="宋体" w:eastAsia="仿宋_GB2312"/>
          <w:kern w:val="2"/>
          <w:sz w:val="32"/>
          <w:szCs w:val="32"/>
        </w:rPr>
        <w:t>标准</w:t>
      </w:r>
      <w:r>
        <w:rPr>
          <w:rFonts w:hint="eastAsia" w:ascii="仿宋_GB2312" w:hAnsi="宋体" w:eastAsia="仿宋_GB2312"/>
          <w:sz w:val="32"/>
          <w:szCs w:val="32"/>
        </w:rPr>
        <w:t>与《武汉市</w:t>
      </w:r>
      <w:r>
        <w:rPr>
          <w:rFonts w:hint="eastAsia" w:ascii="仿宋_GB2312" w:eastAsia="仿宋_GB2312"/>
          <w:sz w:val="32"/>
          <w:szCs w:val="32"/>
          <w:lang w:eastAsia="zh-CN"/>
        </w:rPr>
        <w:t>蔡甸区</w:t>
      </w:r>
      <w:r>
        <w:rPr>
          <w:rFonts w:hint="eastAsia" w:ascii="仿宋_GB2312" w:hAnsi="宋体" w:eastAsia="仿宋_GB2312"/>
          <w:sz w:val="32"/>
          <w:szCs w:val="32"/>
        </w:rPr>
        <w:t>烟草制品零售点合理布局规划》同步施行。</w:t>
      </w: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640" w:firstLineChars="200"/>
        <w:jc w:val="both"/>
        <w:rPr>
          <w:rFonts w:hint="eastAsia" w:ascii="仿宋_GB2312" w:hAnsi="宋体" w:eastAsia="仿宋_GB2312"/>
          <w:sz w:val="32"/>
          <w:szCs w:val="32"/>
        </w:rPr>
      </w:pP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4160" w:firstLineChars="1300"/>
        <w:jc w:val="both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武汉市蔡甸区烟草专卖局</w:t>
      </w:r>
    </w:p>
    <w:p>
      <w:pPr>
        <w:pStyle w:val="6"/>
        <w:widowControl/>
        <w:shd w:val="clear" w:color="auto" w:fill="FFFFFF"/>
        <w:spacing w:beforeAutospacing="0" w:afterAutospacing="0" w:line="30" w:lineRule="atLeast"/>
        <w:ind w:firstLine="4800" w:firstLineChars="1500"/>
        <w:jc w:val="both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2025年1月24日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7A"/>
    <w:rsid w:val="0002342D"/>
    <w:rsid w:val="00194395"/>
    <w:rsid w:val="0024225A"/>
    <w:rsid w:val="0025787E"/>
    <w:rsid w:val="00382B39"/>
    <w:rsid w:val="00C5367A"/>
    <w:rsid w:val="00D7775D"/>
    <w:rsid w:val="00D827E8"/>
    <w:rsid w:val="00FE50A9"/>
    <w:rsid w:val="04C9685E"/>
    <w:rsid w:val="08CA7B52"/>
    <w:rsid w:val="18F73BF3"/>
    <w:rsid w:val="1AE04B8B"/>
    <w:rsid w:val="1B0968E1"/>
    <w:rsid w:val="1D91316F"/>
    <w:rsid w:val="21517D80"/>
    <w:rsid w:val="231E03AB"/>
    <w:rsid w:val="2B940F71"/>
    <w:rsid w:val="2E666BF4"/>
    <w:rsid w:val="301B756B"/>
    <w:rsid w:val="3676374D"/>
    <w:rsid w:val="5B4466CF"/>
    <w:rsid w:val="5DA645C5"/>
    <w:rsid w:val="5E8F0385"/>
    <w:rsid w:val="61C13B66"/>
    <w:rsid w:val="6483629A"/>
    <w:rsid w:val="66AC2A34"/>
    <w:rsid w:val="6A6406D5"/>
    <w:rsid w:val="6AB66E23"/>
    <w:rsid w:val="6C465238"/>
    <w:rsid w:val="6C6F24C5"/>
    <w:rsid w:val="6E3D6323"/>
    <w:rsid w:val="716D33C3"/>
    <w:rsid w:val="735760D9"/>
    <w:rsid w:val="75B2375B"/>
    <w:rsid w:val="76FC57EB"/>
    <w:rsid w:val="770519A8"/>
    <w:rsid w:val="7D1E60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225</Words>
  <Characters>1284</Characters>
  <Lines>10</Lines>
  <Paragraphs>3</Paragraphs>
  <TotalTime>9</TotalTime>
  <ScaleCrop>false</ScaleCrop>
  <LinksUpToDate>false</LinksUpToDate>
  <CharactersWithSpaces>1506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2024-12-04T01:43:00Z</dcterms:created>
  <dc:creator>123</dc:creator>
  <cp:lastModifiedBy>张佚名</cp:lastModifiedBy>
  <dcterms:modified xsi:type="dcterms:W3CDTF">2025-01-23T01:47:33Z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A347316F8BDA4EA4AD2CDF810DDB9B86</vt:lpwstr>
  </property>
</Properties>
</file>