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6F1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附件3</w:t>
      </w:r>
    </w:p>
    <w:p w14:paraId="73888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4" w:beforeLines="100" w:after="474" w:afterLines="100" w:line="57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自动驾驶装备检测项目</w:t>
      </w:r>
    </w:p>
    <w:tbl>
      <w:tblPr>
        <w:tblStyle w:val="8"/>
        <w:tblW w:w="49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053"/>
        <w:gridCol w:w="4599"/>
        <w:gridCol w:w="1780"/>
      </w:tblGrid>
      <w:tr w14:paraId="7901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</w:trPr>
        <w:tc>
          <w:tcPr>
            <w:tcW w:w="1217" w:type="pct"/>
            <w:noWrap w:val="0"/>
            <w:vAlign w:val="center"/>
          </w:tcPr>
          <w:p w14:paraId="0AA987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sz w:val="24"/>
                <w:szCs w:val="24"/>
              </w:rPr>
              <w:t>测试项目</w:t>
            </w:r>
          </w:p>
        </w:tc>
        <w:tc>
          <w:tcPr>
            <w:tcW w:w="2726" w:type="pct"/>
            <w:noWrap w:val="0"/>
            <w:vAlign w:val="center"/>
          </w:tcPr>
          <w:p w14:paraId="1E0113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sz w:val="24"/>
                <w:szCs w:val="24"/>
              </w:rPr>
              <w:t>测试场景</w:t>
            </w:r>
          </w:p>
        </w:tc>
        <w:tc>
          <w:tcPr>
            <w:tcW w:w="1055" w:type="pct"/>
            <w:noWrap w:val="0"/>
            <w:vAlign w:val="center"/>
          </w:tcPr>
          <w:p w14:paraId="6D6AD0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sz w:val="24"/>
                <w:szCs w:val="24"/>
              </w:rPr>
              <w:t>测试要求</w:t>
            </w:r>
          </w:p>
        </w:tc>
      </w:tr>
      <w:tr w14:paraId="7D2B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restart"/>
            <w:noWrap w:val="0"/>
            <w:vAlign w:val="center"/>
          </w:tcPr>
          <w:p w14:paraId="009D0D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交通信号灯及标线识别及响应</w:t>
            </w:r>
          </w:p>
        </w:tc>
        <w:tc>
          <w:tcPr>
            <w:tcW w:w="2726" w:type="pct"/>
            <w:noWrap w:val="0"/>
            <w:vAlign w:val="center"/>
          </w:tcPr>
          <w:p w14:paraId="4494C3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机动车信号灯识别及响应</w:t>
            </w:r>
          </w:p>
        </w:tc>
        <w:tc>
          <w:tcPr>
            <w:tcW w:w="1055" w:type="pct"/>
            <w:noWrap w:val="0"/>
            <w:vAlign w:val="center"/>
          </w:tcPr>
          <w:p w14:paraId="49F80B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0C81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79A4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0563C1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非机动车信号灯识别及响应</w:t>
            </w:r>
          </w:p>
        </w:tc>
        <w:tc>
          <w:tcPr>
            <w:tcW w:w="1055" w:type="pct"/>
            <w:noWrap w:val="0"/>
            <w:vAlign w:val="center"/>
          </w:tcPr>
          <w:p w14:paraId="0DE3B4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0D24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2683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4EC597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人行横道线识别及响应</w:t>
            </w:r>
          </w:p>
        </w:tc>
        <w:tc>
          <w:tcPr>
            <w:tcW w:w="1055" w:type="pct"/>
            <w:noWrap w:val="0"/>
            <w:vAlign w:val="center"/>
          </w:tcPr>
          <w:p w14:paraId="3C3755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6138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427E8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3F1982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环岛行驶</w:t>
            </w:r>
          </w:p>
        </w:tc>
        <w:tc>
          <w:tcPr>
            <w:tcW w:w="1055" w:type="pct"/>
            <w:noWrap w:val="0"/>
            <w:vAlign w:val="center"/>
          </w:tcPr>
          <w:p w14:paraId="0AF510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选测</w:t>
            </w:r>
          </w:p>
        </w:tc>
      </w:tr>
      <w:tr w14:paraId="2DFB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341E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1026FA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障碍物识别及响应</w:t>
            </w:r>
          </w:p>
        </w:tc>
        <w:tc>
          <w:tcPr>
            <w:tcW w:w="1055" w:type="pct"/>
            <w:noWrap w:val="0"/>
            <w:vAlign w:val="center"/>
          </w:tcPr>
          <w:p w14:paraId="4A2625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465C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476F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796BDA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行人识别及响应</w:t>
            </w:r>
          </w:p>
        </w:tc>
        <w:tc>
          <w:tcPr>
            <w:tcW w:w="1055" w:type="pct"/>
            <w:noWrap w:val="0"/>
            <w:vAlign w:val="center"/>
          </w:tcPr>
          <w:p w14:paraId="7C50E3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42E7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766C0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4F18FF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非机动车识别及响应</w:t>
            </w:r>
          </w:p>
        </w:tc>
        <w:tc>
          <w:tcPr>
            <w:tcW w:w="1055" w:type="pct"/>
            <w:noWrap w:val="0"/>
            <w:vAlign w:val="center"/>
          </w:tcPr>
          <w:p w14:paraId="3095B5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04FD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26FB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7D3A44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靠边停车</w:t>
            </w:r>
          </w:p>
        </w:tc>
        <w:tc>
          <w:tcPr>
            <w:tcW w:w="1055" w:type="pct"/>
            <w:noWrap w:val="0"/>
            <w:vAlign w:val="center"/>
          </w:tcPr>
          <w:p w14:paraId="6F4AFE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715C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restart"/>
            <w:noWrap w:val="0"/>
            <w:vAlign w:val="center"/>
          </w:tcPr>
          <w:p w14:paraId="70DB8E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紧急避险能力</w:t>
            </w:r>
          </w:p>
        </w:tc>
        <w:tc>
          <w:tcPr>
            <w:tcW w:w="2726" w:type="pct"/>
            <w:noWrap w:val="0"/>
            <w:vAlign w:val="center"/>
          </w:tcPr>
          <w:p w14:paraId="4C5285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行人突然横穿</w:t>
            </w:r>
          </w:p>
        </w:tc>
        <w:tc>
          <w:tcPr>
            <w:tcW w:w="1055" w:type="pct"/>
            <w:noWrap w:val="0"/>
            <w:vAlign w:val="center"/>
          </w:tcPr>
          <w:p w14:paraId="40BED2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583C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6D4D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6CC46740">
            <w:pPr>
              <w:pStyle w:val="7"/>
              <w:keepNext w:val="0"/>
              <w:keepLines w:val="0"/>
              <w:pageBreakBefore w:val="0"/>
              <w:widowControl w:val="0"/>
              <w:tabs>
                <w:tab w:val="center" w:pos="23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动物突然横穿</w:t>
            </w:r>
          </w:p>
        </w:tc>
        <w:tc>
          <w:tcPr>
            <w:tcW w:w="1055" w:type="pct"/>
            <w:noWrap w:val="0"/>
            <w:vAlign w:val="center"/>
          </w:tcPr>
          <w:p w14:paraId="30805C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选测</w:t>
            </w:r>
          </w:p>
        </w:tc>
      </w:tr>
      <w:tr w14:paraId="3571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restart"/>
            <w:noWrap w:val="0"/>
            <w:vAlign w:val="center"/>
          </w:tcPr>
          <w:p w14:paraId="061CFE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人工接管</w:t>
            </w:r>
          </w:p>
        </w:tc>
        <w:tc>
          <w:tcPr>
            <w:tcW w:w="2726" w:type="pct"/>
            <w:noWrap w:val="0"/>
            <w:vAlign w:val="center"/>
          </w:tcPr>
          <w:p w14:paraId="0A7A6F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现场人工接管及接管后的可操作性</w:t>
            </w:r>
          </w:p>
        </w:tc>
        <w:tc>
          <w:tcPr>
            <w:tcW w:w="1055" w:type="pct"/>
            <w:noWrap w:val="0"/>
            <w:vAlign w:val="center"/>
          </w:tcPr>
          <w:p w14:paraId="26CFF6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  <w:tr w14:paraId="06A6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217" w:type="pct"/>
            <w:vMerge w:val="continue"/>
            <w:noWrap w:val="0"/>
            <w:vAlign w:val="center"/>
          </w:tcPr>
          <w:p w14:paraId="6236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26" w:type="pct"/>
            <w:noWrap w:val="0"/>
            <w:vAlign w:val="center"/>
          </w:tcPr>
          <w:p w14:paraId="5E4CD2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远程人工接管及接管后的可操作性</w:t>
            </w:r>
          </w:p>
        </w:tc>
        <w:tc>
          <w:tcPr>
            <w:tcW w:w="1055" w:type="pct"/>
            <w:noWrap w:val="0"/>
            <w:vAlign w:val="center"/>
          </w:tcPr>
          <w:p w14:paraId="04C213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必测</w:t>
            </w:r>
          </w:p>
        </w:tc>
      </w:tr>
    </w:tbl>
    <w:p w14:paraId="6872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textAlignment w:val="auto"/>
        <w:rPr>
          <w:rFonts w:hint="eastAsia" w:ascii="Times New Roman" w:hAnsi="Times New Roman" w:eastAsia="方正仿宋简体" w:cs="方正仿宋简体"/>
          <w:color w:val="auto"/>
          <w:spacing w:val="-6"/>
          <w:w w:val="100"/>
          <w:sz w:val="24"/>
          <w:szCs w:val="24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6"/>
          <w:w w:val="100"/>
          <w:sz w:val="24"/>
          <w:szCs w:val="24"/>
          <w:lang w:eastAsia="zh-CN"/>
        </w:rPr>
        <w:t>备注：如商业化试点的实际通行环境中，不涉及到某些场景，可以选择不测试该项场景。</w:t>
      </w:r>
    </w:p>
    <w:p w14:paraId="3650B5B6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64A431-67C8-411C-96BF-EBC7A196DD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1C149A-6B75-4DE1-9C4F-8CD97FAD759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D1134A6-493C-4585-9C2E-D260EA9FB4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4FE64B-AEE6-4C44-BE8A-CD73781A40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249C"/>
    <w:rsid w:val="0B1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560" w:lineRule="exact"/>
      <w:ind w:firstLine="200" w:firstLineChars="200"/>
      <w:jc w:val="both"/>
    </w:pPr>
    <w:rPr>
      <w:rFonts w:ascii="宋体" w:hAnsi="宋体" w:eastAsia="方正仿宋简体" w:cs="宋体"/>
      <w:sz w:val="3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Cs w:val="32"/>
    </w:rPr>
  </w:style>
  <w:style w:type="paragraph" w:styleId="3">
    <w:name w:val="toc 5"/>
    <w:basedOn w:val="1"/>
    <w:next w:val="1"/>
    <w:qFormat/>
    <w:uiPriority w:val="99"/>
    <w:pPr>
      <w:widowControl/>
      <w:ind w:left="1680"/>
      <w:textAlignment w:val="baseline"/>
    </w:pPr>
  </w:style>
  <w:style w:type="paragraph" w:customStyle="1" w:styleId="7">
    <w:name w:val="Table Paragraph"/>
    <w:basedOn w:val="1"/>
    <w:qFormat/>
    <w:uiPriority w:val="1"/>
    <w:pPr>
      <w:spacing w:line="240" w:lineRule="auto"/>
      <w:ind w:firstLine="0" w:firstLineChars="0"/>
      <w:jc w:val="left"/>
    </w:pPr>
    <w:rPr>
      <w:rFonts w:eastAsia="宋体"/>
      <w:sz w:val="22"/>
    </w:rPr>
  </w:style>
  <w:style w:type="table" w:customStyle="1" w:styleId="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2025-03-17T08:09:00Z</dcterms:created>
  <dc:creator>W</dc:creator>
  <cp:lastModifiedBy>W</cp:lastModifiedBy>
  <dcterms:modified xsi:type="dcterms:W3CDTF">2025-03-17T08:10:02Z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3BF798C71B3B4D7899DE455D65D8455F_11</vt:lpwstr>
  </property>
</Properties>
</file>